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E9D" w:rsidRDefault="00A76E9D" w:rsidP="00A76E9D">
      <w:pPr>
        <w:autoSpaceDE w:val="0"/>
        <w:autoSpaceDN w:val="0"/>
        <w:adjustRightInd w:val="0"/>
        <w:rPr>
          <w:rFonts w:ascii="Arial" w:hAnsi="Arial" w:cs="Arial"/>
          <w:b/>
          <w:bCs/>
          <w:color w:val="A60021"/>
          <w:sz w:val="40"/>
          <w:szCs w:val="40"/>
        </w:rPr>
      </w:pPr>
      <w:bookmarkStart w:id="0" w:name="_GoBack"/>
      <w:bookmarkEnd w:id="0"/>
    </w:p>
    <w:p w:rsidR="00A76E9D" w:rsidRDefault="00A76E9D" w:rsidP="00A76E9D">
      <w:pPr>
        <w:autoSpaceDE w:val="0"/>
        <w:autoSpaceDN w:val="0"/>
        <w:adjustRightInd w:val="0"/>
        <w:rPr>
          <w:rFonts w:ascii="Arial" w:hAnsi="Arial" w:cs="Arial"/>
          <w:b/>
          <w:bCs/>
          <w:color w:val="A60021"/>
          <w:sz w:val="40"/>
          <w:szCs w:val="40"/>
        </w:rPr>
      </w:pPr>
    </w:p>
    <w:p w:rsidR="00A76E9D" w:rsidRDefault="00A76E9D" w:rsidP="00A76E9D">
      <w:pPr>
        <w:autoSpaceDE w:val="0"/>
        <w:autoSpaceDN w:val="0"/>
        <w:adjustRightInd w:val="0"/>
        <w:rPr>
          <w:rFonts w:ascii="Arial" w:hAnsi="Arial" w:cs="Arial"/>
          <w:b/>
          <w:bCs/>
          <w:color w:val="A60021"/>
          <w:sz w:val="40"/>
          <w:szCs w:val="40"/>
        </w:rPr>
      </w:pPr>
    </w:p>
    <w:p w:rsidR="00A76E9D" w:rsidRDefault="00A76E9D" w:rsidP="00A76E9D">
      <w:pPr>
        <w:autoSpaceDE w:val="0"/>
        <w:autoSpaceDN w:val="0"/>
        <w:adjustRightInd w:val="0"/>
        <w:rPr>
          <w:rFonts w:ascii="Arial" w:hAnsi="Arial" w:cs="Arial"/>
          <w:b/>
          <w:bCs/>
          <w:color w:val="A60021"/>
          <w:sz w:val="40"/>
          <w:szCs w:val="40"/>
        </w:rPr>
      </w:pPr>
    </w:p>
    <w:p w:rsidR="00A76E9D" w:rsidRDefault="00A76E9D" w:rsidP="00A76E9D">
      <w:pPr>
        <w:autoSpaceDE w:val="0"/>
        <w:autoSpaceDN w:val="0"/>
        <w:adjustRightInd w:val="0"/>
        <w:rPr>
          <w:rFonts w:ascii="Arial" w:hAnsi="Arial" w:cs="Arial"/>
          <w:b/>
          <w:bCs/>
          <w:color w:val="A60021"/>
          <w:sz w:val="40"/>
          <w:szCs w:val="40"/>
        </w:rPr>
      </w:pPr>
      <w:r>
        <w:rPr>
          <w:noProof/>
        </w:rPr>
        <w:drawing>
          <wp:inline distT="0" distB="0" distL="0" distR="0" wp14:anchorId="1AD8D35D" wp14:editId="0B31637B">
            <wp:extent cx="5534025" cy="2190750"/>
            <wp:effectExtent l="0" t="0" r="9525" b="0"/>
            <wp:docPr id="16" name="Picture 16" descr="B&amp;D LOGO sml"/>
            <wp:cNvGraphicFramePr/>
            <a:graphic xmlns:a="http://schemas.openxmlformats.org/drawingml/2006/main">
              <a:graphicData uri="http://schemas.openxmlformats.org/drawingml/2006/picture">
                <pic:pic xmlns:pic="http://schemas.openxmlformats.org/drawingml/2006/picture">
                  <pic:nvPicPr>
                    <pic:cNvPr id="2" name="Picture 2" descr="B&amp;D LOGO sml"/>
                    <pic:cNvPicPr/>
                  </pic:nvPicPr>
                  <pic:blipFill>
                    <a:blip r:embed="rId7" cstate="print"/>
                    <a:srcRect/>
                    <a:stretch>
                      <a:fillRect/>
                    </a:stretch>
                  </pic:blipFill>
                  <pic:spPr bwMode="auto">
                    <a:xfrm>
                      <a:off x="0" y="0"/>
                      <a:ext cx="5534025" cy="2190750"/>
                    </a:xfrm>
                    <a:prstGeom prst="rect">
                      <a:avLst/>
                    </a:prstGeom>
                    <a:noFill/>
                  </pic:spPr>
                </pic:pic>
              </a:graphicData>
            </a:graphic>
          </wp:inline>
        </w:drawing>
      </w:r>
    </w:p>
    <w:p w:rsidR="00A76E9D" w:rsidRDefault="00A76E9D" w:rsidP="00A76E9D">
      <w:pPr>
        <w:autoSpaceDE w:val="0"/>
        <w:autoSpaceDN w:val="0"/>
        <w:adjustRightInd w:val="0"/>
        <w:rPr>
          <w:rFonts w:ascii="Arial" w:hAnsi="Arial" w:cs="Arial"/>
          <w:b/>
          <w:bCs/>
          <w:color w:val="A60021"/>
          <w:sz w:val="40"/>
          <w:szCs w:val="40"/>
        </w:rPr>
      </w:pPr>
    </w:p>
    <w:p w:rsidR="00A76E9D" w:rsidRPr="00B77C6F" w:rsidRDefault="00A76E9D" w:rsidP="00A76E9D">
      <w:pPr>
        <w:pStyle w:val="TenderVerticalBigBlue"/>
        <w:spacing w:after="20"/>
        <w:jc w:val="center"/>
        <w:rPr>
          <w:b/>
          <w:caps w:val="0"/>
          <w:snapToGrid w:val="0"/>
          <w:color w:val="C00000"/>
          <w:sz w:val="48"/>
          <w:szCs w:val="48"/>
        </w:rPr>
      </w:pPr>
      <w:r w:rsidRPr="00B77C6F">
        <w:rPr>
          <w:b/>
          <w:caps w:val="0"/>
          <w:snapToGrid w:val="0"/>
          <w:color w:val="C00000"/>
          <w:sz w:val="48"/>
          <w:szCs w:val="48"/>
        </w:rPr>
        <w:t>London Borough of Barking and Dagenham Pension Fund</w:t>
      </w:r>
    </w:p>
    <w:p w:rsidR="00A76E9D" w:rsidRDefault="00A76E9D" w:rsidP="00A76E9D">
      <w:pPr>
        <w:autoSpaceDE w:val="0"/>
        <w:autoSpaceDN w:val="0"/>
        <w:adjustRightInd w:val="0"/>
        <w:jc w:val="center"/>
        <w:rPr>
          <w:rFonts w:ascii="Arial" w:hAnsi="Arial" w:cs="Arial"/>
          <w:b/>
          <w:bCs/>
          <w:color w:val="C00000"/>
          <w:sz w:val="56"/>
          <w:szCs w:val="56"/>
        </w:rPr>
      </w:pPr>
    </w:p>
    <w:p w:rsidR="00A76E9D" w:rsidRDefault="00A76E9D" w:rsidP="00A76E9D">
      <w:pPr>
        <w:autoSpaceDE w:val="0"/>
        <w:autoSpaceDN w:val="0"/>
        <w:adjustRightInd w:val="0"/>
        <w:jc w:val="center"/>
        <w:rPr>
          <w:rFonts w:ascii="Arial" w:hAnsi="Arial" w:cs="Arial"/>
          <w:b/>
          <w:bCs/>
          <w:color w:val="C00000"/>
          <w:sz w:val="56"/>
          <w:szCs w:val="56"/>
        </w:rPr>
      </w:pPr>
      <w:r>
        <w:rPr>
          <w:noProof/>
        </w:rPr>
        <w:drawing>
          <wp:inline distT="0" distB="0" distL="0" distR="0" wp14:anchorId="00C21980" wp14:editId="3158FAFC">
            <wp:extent cx="2838450" cy="2550795"/>
            <wp:effectExtent l="0" t="0" r="0" b="1905"/>
            <wp:docPr id="17" name="Picture 17" descr="Image result for pictures of barking and dagenham">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3" name="Picture 3" descr="Image result for pictures of barking and dagenham">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2550795"/>
                    </a:xfrm>
                    <a:prstGeom prst="rect">
                      <a:avLst/>
                    </a:prstGeom>
                    <a:noFill/>
                    <a:ln>
                      <a:noFill/>
                    </a:ln>
                  </pic:spPr>
                </pic:pic>
              </a:graphicData>
            </a:graphic>
          </wp:inline>
        </w:drawing>
      </w:r>
    </w:p>
    <w:p w:rsidR="00A76E9D" w:rsidRPr="00884393" w:rsidRDefault="00A76E9D" w:rsidP="00A76E9D">
      <w:pPr>
        <w:autoSpaceDE w:val="0"/>
        <w:autoSpaceDN w:val="0"/>
        <w:adjustRightInd w:val="0"/>
        <w:jc w:val="center"/>
        <w:rPr>
          <w:rFonts w:ascii="Arial" w:hAnsi="Arial" w:cs="Arial"/>
          <w:b/>
          <w:bCs/>
          <w:color w:val="C00000"/>
          <w:sz w:val="56"/>
          <w:szCs w:val="56"/>
        </w:rPr>
      </w:pPr>
    </w:p>
    <w:p w:rsidR="00A76E9D" w:rsidRPr="002542AD" w:rsidRDefault="00A76E9D" w:rsidP="00A76E9D">
      <w:pPr>
        <w:jc w:val="center"/>
        <w:rPr>
          <w:rFonts w:ascii="Arial" w:hAnsi="Arial" w:cs="Arial"/>
          <w:b/>
          <w:color w:val="C00000"/>
          <w:sz w:val="28"/>
          <w:szCs w:val="28"/>
        </w:rPr>
      </w:pPr>
      <w:r>
        <w:rPr>
          <w:rFonts w:ascii="Arial" w:hAnsi="Arial" w:cs="Arial"/>
          <w:b/>
          <w:color w:val="C00000"/>
          <w:sz w:val="48"/>
          <w:szCs w:val="48"/>
        </w:rPr>
        <w:t xml:space="preserve"> INVESTMENT STRATEGY STATEMENT</w:t>
      </w:r>
    </w:p>
    <w:p w:rsidR="00A76E9D" w:rsidRDefault="00A76E9D" w:rsidP="00A76E9D">
      <w:pPr>
        <w:rPr>
          <w:rFonts w:ascii="Arial" w:hAnsi="Arial" w:cs="Arial"/>
          <w:b/>
        </w:rPr>
      </w:pPr>
      <w:r>
        <w:rPr>
          <w:rFonts w:ascii="Arial" w:hAnsi="Arial" w:cs="Arial"/>
        </w:rPr>
        <w:br w:type="page"/>
      </w:r>
    </w:p>
    <w:p w:rsidR="00A76E9D" w:rsidRPr="008A04F2" w:rsidRDefault="00A76E9D" w:rsidP="00A76E9D">
      <w:pPr>
        <w:pStyle w:val="Heading2"/>
        <w:rPr>
          <w:rFonts w:ascii="Arial" w:hAnsi="Arial" w:cs="Arial"/>
          <w:szCs w:val="24"/>
        </w:rPr>
      </w:pPr>
      <w:r w:rsidRPr="008A04F2">
        <w:rPr>
          <w:rFonts w:ascii="Arial" w:hAnsi="Arial" w:cs="Arial"/>
          <w:szCs w:val="24"/>
        </w:rPr>
        <w:lastRenderedPageBreak/>
        <w:t xml:space="preserve">Introduction </w:t>
      </w:r>
    </w:p>
    <w:p w:rsidR="00A76E9D" w:rsidRPr="008A04F2" w:rsidRDefault="00A76E9D" w:rsidP="00A76E9D">
      <w:pPr>
        <w:pStyle w:val="BodyTextGrey"/>
        <w:spacing w:after="0" w:line="240" w:lineRule="auto"/>
        <w:rPr>
          <w:color w:val="auto"/>
          <w:sz w:val="24"/>
          <w:szCs w:val="24"/>
        </w:rPr>
      </w:pPr>
    </w:p>
    <w:p w:rsidR="00A76E9D" w:rsidRPr="00372001" w:rsidRDefault="00A76E9D" w:rsidP="00A76E9D">
      <w:pPr>
        <w:pStyle w:val="BodyTextGrey"/>
        <w:spacing w:after="0" w:line="240" w:lineRule="auto"/>
        <w:jc w:val="both"/>
        <w:rPr>
          <w:color w:val="auto"/>
          <w:sz w:val="24"/>
          <w:szCs w:val="24"/>
        </w:rPr>
      </w:pPr>
      <w:r w:rsidRPr="00372001">
        <w:rPr>
          <w:color w:val="auto"/>
          <w:sz w:val="24"/>
          <w:szCs w:val="24"/>
        </w:rPr>
        <w:t xml:space="preserve">This is the Investment Strategy Statement (ISS) produced by London Borough of Barking and Dagenham as administering authority of the London Borough of Barking and Dagenham Pension Fund (“the Fund”), to comply with the regulatory requirements specified in The Local Government Pension Scheme (Management and Investment of Funds) Regulations 2016 and the Statutory Guidance on Preparing and Maintaining an Investment Strategy Statement issued by the Department for Communities and Local Government (DCLG) in September 2016. </w:t>
      </w:r>
    </w:p>
    <w:p w:rsidR="00A76E9D" w:rsidRPr="00372001" w:rsidRDefault="00A76E9D" w:rsidP="00A76E9D">
      <w:pPr>
        <w:pStyle w:val="BodyTextGrey"/>
        <w:spacing w:after="0" w:line="240" w:lineRule="auto"/>
        <w:jc w:val="both"/>
        <w:rPr>
          <w:color w:val="auto"/>
          <w:sz w:val="24"/>
          <w:szCs w:val="24"/>
        </w:rPr>
      </w:pPr>
    </w:p>
    <w:p w:rsidR="00A76E9D" w:rsidRPr="00372001" w:rsidRDefault="00A76E9D" w:rsidP="00A76E9D">
      <w:pPr>
        <w:pStyle w:val="BodyTextGrey"/>
        <w:spacing w:after="0" w:line="240" w:lineRule="auto"/>
        <w:jc w:val="both"/>
        <w:rPr>
          <w:color w:val="auto"/>
          <w:sz w:val="24"/>
          <w:szCs w:val="24"/>
        </w:rPr>
      </w:pPr>
      <w:r w:rsidRPr="00372001">
        <w:rPr>
          <w:color w:val="auto"/>
          <w:sz w:val="24"/>
          <w:szCs w:val="24"/>
        </w:rPr>
        <w:t xml:space="preserve">The Regulations (regulation 7) set out that the ISS must include: </w:t>
      </w:r>
    </w:p>
    <w:p w:rsidR="00A76E9D" w:rsidRPr="00372001" w:rsidRDefault="00A76E9D" w:rsidP="00A76E9D">
      <w:pPr>
        <w:pStyle w:val="BodyTextGrey"/>
        <w:spacing w:after="0" w:line="240" w:lineRule="auto"/>
        <w:jc w:val="both"/>
        <w:rPr>
          <w:color w:val="auto"/>
          <w:sz w:val="24"/>
          <w:szCs w:val="24"/>
        </w:rPr>
      </w:pPr>
    </w:p>
    <w:p w:rsidR="00A76E9D" w:rsidRPr="00372001" w:rsidRDefault="00A76E9D" w:rsidP="00A76E9D">
      <w:pPr>
        <w:numPr>
          <w:ilvl w:val="0"/>
          <w:numId w:val="26"/>
        </w:numPr>
        <w:jc w:val="both"/>
        <w:rPr>
          <w:rFonts w:ascii="Arial" w:hAnsi="Arial" w:cs="Arial"/>
          <w:i/>
        </w:rPr>
      </w:pPr>
      <w:r w:rsidRPr="00372001">
        <w:rPr>
          <w:rFonts w:ascii="Arial" w:hAnsi="Arial" w:cs="Arial"/>
          <w:i/>
        </w:rPr>
        <w:t>a requirement to invest fund money in a wide variety of investments;</w:t>
      </w:r>
    </w:p>
    <w:p w:rsidR="00A76E9D" w:rsidRPr="00372001" w:rsidRDefault="00A76E9D" w:rsidP="00A76E9D">
      <w:pPr>
        <w:numPr>
          <w:ilvl w:val="0"/>
          <w:numId w:val="26"/>
        </w:numPr>
        <w:jc w:val="both"/>
        <w:rPr>
          <w:rFonts w:ascii="Arial" w:hAnsi="Arial" w:cs="Arial"/>
          <w:i/>
        </w:rPr>
      </w:pPr>
      <w:r w:rsidRPr="00372001">
        <w:rPr>
          <w:rFonts w:ascii="Arial" w:hAnsi="Arial" w:cs="Arial"/>
          <w:i/>
        </w:rPr>
        <w:t>the authority’s assessment of the suitability of particular investments and types of investments;</w:t>
      </w:r>
    </w:p>
    <w:p w:rsidR="00A76E9D" w:rsidRPr="00372001" w:rsidRDefault="00A76E9D" w:rsidP="00A76E9D">
      <w:pPr>
        <w:numPr>
          <w:ilvl w:val="0"/>
          <w:numId w:val="26"/>
        </w:numPr>
        <w:jc w:val="both"/>
        <w:rPr>
          <w:rFonts w:ascii="Arial" w:hAnsi="Arial" w:cs="Arial"/>
          <w:i/>
        </w:rPr>
      </w:pPr>
      <w:r w:rsidRPr="00372001">
        <w:rPr>
          <w:rFonts w:ascii="Arial" w:hAnsi="Arial" w:cs="Arial"/>
          <w:i/>
        </w:rPr>
        <w:t>the authority’s approach to risk, including the ways in which risks are to be assessed and managed;</w:t>
      </w:r>
    </w:p>
    <w:p w:rsidR="00A76E9D" w:rsidRPr="00372001" w:rsidRDefault="00A76E9D" w:rsidP="00A76E9D">
      <w:pPr>
        <w:numPr>
          <w:ilvl w:val="0"/>
          <w:numId w:val="26"/>
        </w:numPr>
        <w:jc w:val="both"/>
        <w:rPr>
          <w:rFonts w:ascii="Arial" w:hAnsi="Arial" w:cs="Arial"/>
          <w:i/>
        </w:rPr>
      </w:pPr>
      <w:r w:rsidRPr="00372001">
        <w:rPr>
          <w:rFonts w:ascii="Arial" w:hAnsi="Arial" w:cs="Arial"/>
          <w:i/>
        </w:rPr>
        <w:t>the authority’s approach to pooling investments, including the use of collective investment vehicles and shared services;</w:t>
      </w:r>
    </w:p>
    <w:p w:rsidR="00A76E9D" w:rsidRPr="00372001" w:rsidRDefault="00A76E9D" w:rsidP="00A76E9D">
      <w:pPr>
        <w:numPr>
          <w:ilvl w:val="0"/>
          <w:numId w:val="26"/>
        </w:numPr>
        <w:jc w:val="both"/>
        <w:rPr>
          <w:rFonts w:ascii="Arial" w:hAnsi="Arial" w:cs="Arial"/>
          <w:i/>
        </w:rPr>
      </w:pPr>
      <w:r w:rsidRPr="00372001">
        <w:rPr>
          <w:rFonts w:ascii="Arial" w:hAnsi="Arial" w:cs="Arial"/>
          <w:i/>
        </w:rPr>
        <w:t>the authority’s policy on how social, environmental and corporate governance considerations are taken into account in the selection, non-selection, retention and realisation of investments; and</w:t>
      </w:r>
    </w:p>
    <w:p w:rsidR="00A76E9D" w:rsidRPr="00372001" w:rsidRDefault="00A76E9D" w:rsidP="00A76E9D">
      <w:pPr>
        <w:numPr>
          <w:ilvl w:val="0"/>
          <w:numId w:val="26"/>
        </w:numPr>
        <w:jc w:val="both"/>
        <w:rPr>
          <w:rFonts w:ascii="Arial" w:hAnsi="Arial" w:cs="Arial"/>
          <w:i/>
        </w:rPr>
      </w:pPr>
      <w:r w:rsidRPr="00372001">
        <w:rPr>
          <w:rFonts w:ascii="Arial" w:hAnsi="Arial" w:cs="Arial"/>
          <w:i/>
        </w:rPr>
        <w:t>the authority’s policy on the exercise of the rights (including voting rights) attaching to investments.</w:t>
      </w:r>
    </w:p>
    <w:p w:rsidR="00A76E9D" w:rsidRPr="00372001" w:rsidRDefault="00A76E9D" w:rsidP="00A76E9D">
      <w:pPr>
        <w:jc w:val="both"/>
        <w:rPr>
          <w:rFonts w:ascii="Arial" w:hAnsi="Arial" w:cs="Arial"/>
        </w:rPr>
      </w:pPr>
    </w:p>
    <w:p w:rsidR="00A76E9D" w:rsidRPr="00372001" w:rsidRDefault="00A76E9D" w:rsidP="00A76E9D">
      <w:pPr>
        <w:jc w:val="both"/>
        <w:rPr>
          <w:rFonts w:ascii="Arial" w:hAnsi="Arial" w:cs="Arial"/>
        </w:rPr>
      </w:pPr>
      <w:r w:rsidRPr="00372001">
        <w:rPr>
          <w:rFonts w:ascii="Arial" w:hAnsi="Arial" w:cs="Arial"/>
        </w:rPr>
        <w:t>This ISS seeks to address the Requirements of Regulation 7 and the Statutory Guidance of September 2016.</w:t>
      </w:r>
    </w:p>
    <w:p w:rsidR="00A76E9D" w:rsidRPr="00372001" w:rsidRDefault="00A76E9D" w:rsidP="00A76E9D">
      <w:pPr>
        <w:pStyle w:val="BodyTextGrey"/>
        <w:spacing w:after="0" w:line="240" w:lineRule="auto"/>
        <w:jc w:val="both"/>
        <w:rPr>
          <w:color w:val="auto"/>
          <w:sz w:val="24"/>
          <w:szCs w:val="24"/>
        </w:rPr>
      </w:pPr>
    </w:p>
    <w:p w:rsidR="00A76E9D" w:rsidRPr="00372001" w:rsidRDefault="00A76E9D" w:rsidP="00A76E9D">
      <w:pPr>
        <w:pStyle w:val="BodyTextGrey"/>
        <w:spacing w:after="0" w:line="240" w:lineRule="auto"/>
        <w:jc w:val="both"/>
        <w:rPr>
          <w:color w:val="auto"/>
          <w:sz w:val="24"/>
          <w:szCs w:val="24"/>
        </w:rPr>
      </w:pPr>
      <w:r w:rsidRPr="00372001">
        <w:rPr>
          <w:color w:val="auto"/>
          <w:sz w:val="24"/>
          <w:szCs w:val="24"/>
        </w:rPr>
        <w:t>The ISS replaces the Statement of Investment Principles and, although it is a similar document, there are several additional disclosures that need to be covered including:</w:t>
      </w:r>
    </w:p>
    <w:p w:rsidR="00A76E9D" w:rsidRPr="00372001" w:rsidRDefault="00A76E9D" w:rsidP="00A76E9D">
      <w:pPr>
        <w:pStyle w:val="BodyTextGrey"/>
        <w:spacing w:after="0" w:line="240" w:lineRule="auto"/>
        <w:jc w:val="both"/>
        <w:rPr>
          <w:color w:val="auto"/>
          <w:sz w:val="24"/>
          <w:szCs w:val="24"/>
        </w:rPr>
      </w:pPr>
    </w:p>
    <w:p w:rsidR="00A76E9D" w:rsidRPr="00372001" w:rsidRDefault="00A76E9D" w:rsidP="00A76E9D">
      <w:pPr>
        <w:pStyle w:val="BodyTextGrey"/>
        <w:numPr>
          <w:ilvl w:val="0"/>
          <w:numId w:val="22"/>
        </w:numPr>
        <w:spacing w:after="0" w:line="240" w:lineRule="auto"/>
        <w:jc w:val="both"/>
        <w:rPr>
          <w:color w:val="auto"/>
          <w:sz w:val="24"/>
          <w:szCs w:val="24"/>
        </w:rPr>
      </w:pPr>
      <w:r w:rsidRPr="00372001">
        <w:rPr>
          <w:color w:val="auto"/>
          <w:sz w:val="24"/>
          <w:szCs w:val="24"/>
        </w:rPr>
        <w:t>The removal of the investment restrictions contained in schedule 1of the LGPS (Management and Investment of Funds) Regulations 2009;</w:t>
      </w:r>
    </w:p>
    <w:p w:rsidR="00A76E9D" w:rsidRPr="00372001" w:rsidRDefault="00A76E9D" w:rsidP="00A76E9D">
      <w:pPr>
        <w:pStyle w:val="BodyTextGrey"/>
        <w:numPr>
          <w:ilvl w:val="0"/>
          <w:numId w:val="22"/>
        </w:numPr>
        <w:spacing w:after="0" w:line="240" w:lineRule="auto"/>
        <w:jc w:val="both"/>
        <w:rPr>
          <w:color w:val="auto"/>
          <w:sz w:val="24"/>
          <w:szCs w:val="24"/>
        </w:rPr>
      </w:pPr>
      <w:r w:rsidRPr="00372001">
        <w:rPr>
          <w:color w:val="auto"/>
          <w:sz w:val="24"/>
          <w:szCs w:val="24"/>
        </w:rPr>
        <w:t>Fund’s approach to pooling investments</w:t>
      </w:r>
      <w:r>
        <w:rPr>
          <w:color w:val="auto"/>
          <w:sz w:val="24"/>
          <w:szCs w:val="24"/>
        </w:rPr>
        <w:t xml:space="preserve"> </w:t>
      </w:r>
      <w:r w:rsidRPr="00372001">
        <w:rPr>
          <w:color w:val="auto"/>
          <w:sz w:val="24"/>
          <w:szCs w:val="24"/>
        </w:rPr>
        <w:t>and shared services;</w:t>
      </w:r>
    </w:p>
    <w:p w:rsidR="00A76E9D" w:rsidRPr="00372001" w:rsidRDefault="00A76E9D" w:rsidP="00A76E9D">
      <w:pPr>
        <w:pStyle w:val="BodyTextGrey"/>
        <w:numPr>
          <w:ilvl w:val="0"/>
          <w:numId w:val="22"/>
        </w:numPr>
        <w:spacing w:after="0" w:line="240" w:lineRule="auto"/>
        <w:jc w:val="both"/>
        <w:rPr>
          <w:color w:val="auto"/>
          <w:sz w:val="24"/>
          <w:szCs w:val="24"/>
        </w:rPr>
      </w:pPr>
      <w:r w:rsidRPr="00372001">
        <w:rPr>
          <w:color w:val="auto"/>
          <w:sz w:val="24"/>
          <w:szCs w:val="24"/>
        </w:rPr>
        <w:t>How social, environmental and corporate governance considerations are taken into account in the selection, non-selection, retention and realisation of investments; and</w:t>
      </w:r>
    </w:p>
    <w:p w:rsidR="00A76E9D" w:rsidRPr="00372001" w:rsidRDefault="00A76E9D" w:rsidP="00A76E9D">
      <w:pPr>
        <w:pStyle w:val="BodyTextGrey"/>
        <w:numPr>
          <w:ilvl w:val="0"/>
          <w:numId w:val="22"/>
        </w:numPr>
        <w:spacing w:after="0" w:line="240" w:lineRule="auto"/>
        <w:jc w:val="both"/>
        <w:rPr>
          <w:color w:val="auto"/>
          <w:sz w:val="24"/>
          <w:szCs w:val="24"/>
        </w:rPr>
      </w:pPr>
      <w:r w:rsidRPr="00372001">
        <w:rPr>
          <w:color w:val="auto"/>
          <w:sz w:val="24"/>
          <w:szCs w:val="24"/>
        </w:rPr>
        <w:t>The Fund’s assessment of the suitability of all major asset classes.</w:t>
      </w:r>
    </w:p>
    <w:p w:rsidR="00A76E9D" w:rsidRPr="00372001" w:rsidRDefault="00A76E9D" w:rsidP="00A76E9D">
      <w:pPr>
        <w:pStyle w:val="BodyTextGrey"/>
        <w:spacing w:after="0" w:line="240" w:lineRule="auto"/>
        <w:ind w:left="780"/>
        <w:jc w:val="both"/>
        <w:rPr>
          <w:color w:val="auto"/>
          <w:sz w:val="24"/>
          <w:szCs w:val="24"/>
        </w:rPr>
      </w:pPr>
    </w:p>
    <w:p w:rsidR="00A76E9D" w:rsidRPr="00372001" w:rsidRDefault="00A76E9D" w:rsidP="00A76E9D">
      <w:pPr>
        <w:pStyle w:val="BodyTextGrey"/>
        <w:spacing w:after="0" w:line="240" w:lineRule="auto"/>
        <w:jc w:val="both"/>
        <w:rPr>
          <w:color w:val="auto"/>
          <w:sz w:val="24"/>
          <w:szCs w:val="24"/>
        </w:rPr>
      </w:pPr>
      <w:r w:rsidRPr="00372001">
        <w:rPr>
          <w:color w:val="auto"/>
          <w:sz w:val="24"/>
          <w:szCs w:val="24"/>
        </w:rPr>
        <w:t>The Statement is subject to review from time to time and will certainly be reviewed within six months of any material change in investment policy or other matters as required by law. As a minimum the ISS must be reviewed every three years. The ISS has been produced following a complete review of the Fund’s investment strategy and incorporates the requirements of the Funding Strategy Statement. In preparing this Statement the administrating authority has taken and considered advice from the Fund’s Investment Advisor, Aon Hewitt, and from the Fund’s Independent Investment Advisor, John Raisin Financial Services Limited.</w:t>
      </w:r>
    </w:p>
    <w:p w:rsidR="00A76E9D" w:rsidRPr="00372001" w:rsidRDefault="00A76E9D" w:rsidP="00A76E9D">
      <w:pPr>
        <w:pStyle w:val="BodyTextGrey"/>
        <w:spacing w:after="0" w:line="240" w:lineRule="auto"/>
        <w:jc w:val="both"/>
        <w:rPr>
          <w:color w:val="auto"/>
          <w:sz w:val="24"/>
          <w:szCs w:val="24"/>
        </w:rPr>
      </w:pPr>
    </w:p>
    <w:p w:rsidR="00A76E9D" w:rsidRPr="00372001" w:rsidRDefault="00A76E9D" w:rsidP="00A76E9D">
      <w:pPr>
        <w:pStyle w:val="BodyTextGrey"/>
        <w:spacing w:after="0" w:line="240" w:lineRule="auto"/>
        <w:jc w:val="both"/>
        <w:rPr>
          <w:sz w:val="24"/>
          <w:szCs w:val="24"/>
        </w:rPr>
      </w:pPr>
      <w:r w:rsidRPr="00372001">
        <w:rPr>
          <w:color w:val="auto"/>
          <w:sz w:val="24"/>
          <w:szCs w:val="24"/>
        </w:rPr>
        <w:t xml:space="preserve">A copy of the ISS can be found at: </w:t>
      </w:r>
      <w:hyperlink r:id="rId10" w:history="1">
        <w:r w:rsidRPr="00372001">
          <w:rPr>
            <w:rStyle w:val="Hyperlink"/>
            <w:rFonts w:eastAsiaTheme="majorEastAsia"/>
            <w:sz w:val="24"/>
            <w:szCs w:val="24"/>
          </w:rPr>
          <w:t>www.lbbdpensionfund.org</w:t>
        </w:r>
      </w:hyperlink>
    </w:p>
    <w:p w:rsidR="00A76E9D" w:rsidRPr="00DF6F04" w:rsidRDefault="00A76E9D" w:rsidP="00A76E9D">
      <w:pPr>
        <w:pStyle w:val="BodyTextGrey"/>
        <w:spacing w:after="0" w:line="240" w:lineRule="auto"/>
        <w:ind w:right="-188"/>
        <w:rPr>
          <w:color w:val="auto"/>
          <w:sz w:val="24"/>
          <w:szCs w:val="24"/>
          <w:lang w:eastAsia="en-GB"/>
        </w:rPr>
      </w:pPr>
      <w:r w:rsidRPr="00DF6F04">
        <w:rPr>
          <w:color w:val="auto"/>
          <w:sz w:val="24"/>
          <w:szCs w:val="24"/>
          <w:lang w:eastAsia="en-GB"/>
        </w:rPr>
        <w:t>For further information pl</w:t>
      </w:r>
      <w:r>
        <w:rPr>
          <w:color w:val="auto"/>
          <w:sz w:val="24"/>
          <w:szCs w:val="24"/>
          <w:lang w:eastAsia="en-GB"/>
        </w:rPr>
        <w:t xml:space="preserve">ease contact David Dickinson: </w:t>
      </w:r>
      <w:hyperlink r:id="rId11" w:history="1">
        <w:r w:rsidRPr="00DF6F04">
          <w:rPr>
            <w:rStyle w:val="Hyperlink"/>
            <w:rFonts w:eastAsiaTheme="majorEastAsia"/>
            <w:sz w:val="24"/>
            <w:szCs w:val="24"/>
          </w:rPr>
          <w:t>david.dickinson@lbbd.gov.uk</w:t>
        </w:r>
      </w:hyperlink>
      <w:r>
        <w:rPr>
          <w:color w:val="auto"/>
          <w:sz w:val="24"/>
          <w:szCs w:val="24"/>
          <w:lang w:eastAsia="en-GB"/>
        </w:rPr>
        <w:t>.</w:t>
      </w:r>
    </w:p>
    <w:p w:rsidR="00A76E9D" w:rsidRPr="00DF6F04" w:rsidRDefault="00A76E9D" w:rsidP="00A76E9D">
      <w:pPr>
        <w:pStyle w:val="Heading2"/>
        <w:rPr>
          <w:rFonts w:ascii="Arial" w:hAnsi="Arial" w:cs="Arial"/>
          <w:szCs w:val="24"/>
        </w:rPr>
      </w:pPr>
      <w:r w:rsidRPr="00DF6F04">
        <w:rPr>
          <w:rFonts w:ascii="Arial" w:hAnsi="Arial" w:cs="Arial"/>
          <w:szCs w:val="24"/>
        </w:rPr>
        <w:lastRenderedPageBreak/>
        <w:t xml:space="preserve">Overall Responsibilities </w:t>
      </w:r>
    </w:p>
    <w:p w:rsidR="00A76E9D" w:rsidRPr="00DF6F04" w:rsidRDefault="00A76E9D" w:rsidP="00A76E9D">
      <w:pPr>
        <w:pStyle w:val="BodyTextGrey"/>
        <w:spacing w:after="0" w:line="240" w:lineRule="auto"/>
        <w:rPr>
          <w:color w:val="auto"/>
          <w:sz w:val="24"/>
          <w:szCs w:val="24"/>
        </w:rPr>
      </w:pPr>
    </w:p>
    <w:p w:rsidR="00A76E9D" w:rsidRPr="00DF6F04" w:rsidRDefault="00A76E9D" w:rsidP="00A76E9D">
      <w:pPr>
        <w:pStyle w:val="BodyTextGrey"/>
        <w:spacing w:after="0" w:line="240" w:lineRule="auto"/>
        <w:jc w:val="both"/>
        <w:rPr>
          <w:color w:val="auto"/>
          <w:sz w:val="24"/>
          <w:szCs w:val="24"/>
        </w:rPr>
      </w:pPr>
      <w:r w:rsidRPr="00DF6F04">
        <w:rPr>
          <w:color w:val="auto"/>
          <w:sz w:val="24"/>
          <w:szCs w:val="24"/>
        </w:rPr>
        <w:t xml:space="preserve">A full explanation of the Fund’s governance arrangements can be found in the Council’s Constitution Part C – Responsibility for Functions – Our Scheme of Delegation - Section M – The Pension Panel published on the Council’s website: </w:t>
      </w:r>
      <w:hyperlink r:id="rId12" w:history="1">
        <w:r w:rsidRPr="00DF6F04">
          <w:rPr>
            <w:rStyle w:val="Hyperlink"/>
            <w:rFonts w:eastAsiaTheme="majorEastAsia"/>
            <w:sz w:val="24"/>
            <w:szCs w:val="24"/>
          </w:rPr>
          <w:t>http://www.lbbd.gov.uk/CouncilandDemocracy/Documents/Constitution/const-c-section-m.pdf</w:t>
        </w:r>
      </w:hyperlink>
    </w:p>
    <w:p w:rsidR="00A76E9D" w:rsidRPr="00DF6F04" w:rsidRDefault="00A76E9D" w:rsidP="00A76E9D">
      <w:pPr>
        <w:pStyle w:val="BodyTextGrey"/>
        <w:spacing w:after="0" w:line="240" w:lineRule="auto"/>
        <w:jc w:val="both"/>
        <w:rPr>
          <w:color w:val="auto"/>
          <w:sz w:val="24"/>
          <w:szCs w:val="24"/>
        </w:rPr>
      </w:pPr>
    </w:p>
    <w:p w:rsidR="00A76E9D" w:rsidRPr="00DF6F04" w:rsidRDefault="00A76E9D" w:rsidP="00A76E9D">
      <w:pPr>
        <w:pStyle w:val="Heading2"/>
        <w:rPr>
          <w:rFonts w:ascii="Arial" w:hAnsi="Arial" w:cs="Arial"/>
          <w:szCs w:val="24"/>
        </w:rPr>
      </w:pPr>
      <w:r w:rsidRPr="00DF6F04">
        <w:rPr>
          <w:rFonts w:ascii="Arial" w:hAnsi="Arial" w:cs="Arial"/>
          <w:szCs w:val="24"/>
        </w:rPr>
        <w:t xml:space="preserve">Investment Responsibilities </w:t>
      </w:r>
    </w:p>
    <w:p w:rsidR="00A76E9D" w:rsidRPr="00DF6F04" w:rsidRDefault="00A76E9D" w:rsidP="00A76E9D">
      <w:pPr>
        <w:jc w:val="both"/>
      </w:pPr>
    </w:p>
    <w:p w:rsidR="00A76E9D" w:rsidRDefault="00A76E9D" w:rsidP="00A76E9D">
      <w:pPr>
        <w:pStyle w:val="BodyTextGrey"/>
        <w:spacing w:after="0" w:line="240" w:lineRule="auto"/>
        <w:jc w:val="both"/>
        <w:rPr>
          <w:color w:val="auto"/>
          <w:sz w:val="24"/>
          <w:szCs w:val="24"/>
        </w:rPr>
      </w:pPr>
      <w:r w:rsidRPr="00372001">
        <w:rPr>
          <w:color w:val="auto"/>
          <w:sz w:val="24"/>
          <w:szCs w:val="24"/>
        </w:rPr>
        <w:t>The Administering Authority the Council has delegated responsibility for the administration of the Fund to the Section 151 officer, advised by the Pension Panel and after taking expert advice from the Fund’s Investment Advisor (Aon Hewitt) and the Fund’s Independent Advisor, John Raisin Financial Services Limited</w:t>
      </w:r>
      <w:r>
        <w:rPr>
          <w:color w:val="auto"/>
          <w:sz w:val="24"/>
          <w:szCs w:val="24"/>
        </w:rPr>
        <w:t>.</w:t>
      </w:r>
    </w:p>
    <w:p w:rsidR="00A76E9D" w:rsidRPr="00DF6F04" w:rsidRDefault="00A76E9D" w:rsidP="00A76E9D">
      <w:pPr>
        <w:pStyle w:val="BodyTextGrey"/>
        <w:spacing w:after="0" w:line="240" w:lineRule="auto"/>
        <w:rPr>
          <w:color w:val="auto"/>
          <w:sz w:val="24"/>
          <w:szCs w:val="24"/>
        </w:rPr>
      </w:pPr>
    </w:p>
    <w:p w:rsidR="00A76E9D" w:rsidRPr="00DF6F04" w:rsidRDefault="00A76E9D" w:rsidP="00A76E9D">
      <w:pPr>
        <w:pStyle w:val="BodyTextGrey"/>
        <w:spacing w:after="0" w:line="240" w:lineRule="auto"/>
        <w:rPr>
          <w:color w:val="auto"/>
          <w:sz w:val="24"/>
          <w:szCs w:val="24"/>
        </w:rPr>
      </w:pPr>
      <w:r w:rsidRPr="00DF6F04">
        <w:rPr>
          <w:color w:val="auto"/>
          <w:sz w:val="24"/>
          <w:szCs w:val="24"/>
        </w:rPr>
        <w:t xml:space="preserve">As at 31 </w:t>
      </w:r>
      <w:r>
        <w:rPr>
          <w:color w:val="auto"/>
          <w:sz w:val="24"/>
          <w:szCs w:val="24"/>
        </w:rPr>
        <w:t xml:space="preserve">December 2016 </w:t>
      </w:r>
      <w:r w:rsidRPr="00DF6F04">
        <w:rPr>
          <w:color w:val="auto"/>
          <w:sz w:val="24"/>
          <w:szCs w:val="24"/>
        </w:rPr>
        <w:t>the Pension Panel comprise</w:t>
      </w:r>
      <w:r>
        <w:rPr>
          <w:color w:val="auto"/>
          <w:sz w:val="24"/>
          <w:szCs w:val="24"/>
        </w:rPr>
        <w:t>d</w:t>
      </w:r>
      <w:r w:rsidRPr="00DF6F04">
        <w:rPr>
          <w:color w:val="auto"/>
          <w:sz w:val="24"/>
          <w:szCs w:val="24"/>
        </w:rPr>
        <w:t xml:space="preserve">: </w:t>
      </w:r>
    </w:p>
    <w:p w:rsidR="00A76E9D" w:rsidRPr="001B5C7B" w:rsidRDefault="00A76E9D" w:rsidP="00A76E9D">
      <w:pPr>
        <w:pStyle w:val="BodyTextGrey"/>
        <w:spacing w:after="0" w:line="240" w:lineRule="auto"/>
        <w:ind w:left="720"/>
        <w:rPr>
          <w:b/>
          <w:color w:val="auto"/>
          <w:sz w:val="24"/>
          <w:szCs w:val="24"/>
        </w:rPr>
      </w:pPr>
    </w:p>
    <w:p w:rsidR="00A76E9D" w:rsidRDefault="00A76E9D" w:rsidP="00A76E9D">
      <w:pPr>
        <w:pStyle w:val="BodyTextGrey"/>
        <w:spacing w:after="0" w:line="240" w:lineRule="auto"/>
        <w:rPr>
          <w:b/>
          <w:color w:val="auto"/>
          <w:sz w:val="24"/>
          <w:szCs w:val="24"/>
        </w:rPr>
      </w:pPr>
      <w:r w:rsidRPr="001B5C7B">
        <w:rPr>
          <w:b/>
          <w:color w:val="auto"/>
          <w:sz w:val="24"/>
          <w:szCs w:val="24"/>
        </w:rPr>
        <w:t>Pension Panel Voting Members</w:t>
      </w:r>
    </w:p>
    <w:p w:rsidR="00A76E9D" w:rsidRDefault="00A76E9D" w:rsidP="00A76E9D">
      <w:pPr>
        <w:pStyle w:val="BodyTextGrey"/>
        <w:spacing w:after="0" w:line="240" w:lineRule="auto"/>
        <w:rPr>
          <w:color w:val="auto"/>
          <w:sz w:val="24"/>
          <w:szCs w:val="24"/>
        </w:rPr>
      </w:pPr>
    </w:p>
    <w:p w:rsidR="00A76E9D" w:rsidRPr="001B5C7B" w:rsidRDefault="00A76E9D" w:rsidP="00A76E9D">
      <w:pPr>
        <w:pStyle w:val="BodyTextGrey"/>
        <w:spacing w:after="0" w:line="240" w:lineRule="auto"/>
        <w:rPr>
          <w:color w:val="auto"/>
          <w:sz w:val="24"/>
          <w:szCs w:val="24"/>
        </w:rPr>
      </w:pPr>
      <w:r w:rsidRPr="001B5C7B">
        <w:rPr>
          <w:color w:val="auto"/>
          <w:sz w:val="24"/>
          <w:szCs w:val="24"/>
        </w:rPr>
        <w:t>Chair:</w:t>
      </w:r>
      <w:r w:rsidRPr="001B5C7B">
        <w:rPr>
          <w:color w:val="auto"/>
          <w:sz w:val="24"/>
          <w:szCs w:val="24"/>
        </w:rPr>
        <w:tab/>
      </w:r>
      <w:r w:rsidRPr="001B5C7B">
        <w:rPr>
          <w:color w:val="auto"/>
          <w:sz w:val="24"/>
          <w:szCs w:val="24"/>
        </w:rPr>
        <w:tab/>
      </w:r>
      <w:r>
        <w:rPr>
          <w:color w:val="auto"/>
          <w:sz w:val="24"/>
          <w:szCs w:val="24"/>
        </w:rPr>
        <w:tab/>
      </w:r>
      <w:r>
        <w:rPr>
          <w:color w:val="auto"/>
          <w:sz w:val="24"/>
          <w:szCs w:val="24"/>
        </w:rPr>
        <w:tab/>
      </w:r>
      <w:r w:rsidRPr="001B5C7B">
        <w:rPr>
          <w:color w:val="auto"/>
          <w:sz w:val="24"/>
          <w:szCs w:val="24"/>
        </w:rPr>
        <w:t>Councillor Dominic Twomey</w:t>
      </w:r>
    </w:p>
    <w:p w:rsidR="00A76E9D" w:rsidRPr="001B5C7B" w:rsidRDefault="00A76E9D" w:rsidP="00A76E9D">
      <w:pPr>
        <w:pStyle w:val="BodyTextGrey"/>
        <w:spacing w:after="0" w:line="240" w:lineRule="auto"/>
        <w:rPr>
          <w:color w:val="auto"/>
          <w:sz w:val="24"/>
          <w:szCs w:val="24"/>
        </w:rPr>
      </w:pPr>
      <w:r w:rsidRPr="001B5C7B">
        <w:rPr>
          <w:color w:val="auto"/>
          <w:sz w:val="24"/>
          <w:szCs w:val="24"/>
        </w:rPr>
        <w:t>Deputy:</w:t>
      </w:r>
      <w:r w:rsidRPr="001B5C7B">
        <w:rPr>
          <w:color w:val="auto"/>
          <w:sz w:val="24"/>
          <w:szCs w:val="24"/>
        </w:rPr>
        <w:tab/>
      </w:r>
      <w:r>
        <w:rPr>
          <w:color w:val="auto"/>
          <w:sz w:val="24"/>
          <w:szCs w:val="24"/>
        </w:rPr>
        <w:tab/>
      </w:r>
      <w:r>
        <w:rPr>
          <w:color w:val="auto"/>
          <w:sz w:val="24"/>
          <w:szCs w:val="24"/>
        </w:rPr>
        <w:tab/>
      </w:r>
      <w:r w:rsidRPr="001B5C7B">
        <w:rPr>
          <w:color w:val="auto"/>
          <w:sz w:val="24"/>
          <w:szCs w:val="24"/>
        </w:rPr>
        <w:t xml:space="preserve">Councillor Faraaz Shaukat </w:t>
      </w:r>
    </w:p>
    <w:p w:rsidR="00A76E9D" w:rsidRPr="001B5C7B" w:rsidRDefault="00A76E9D" w:rsidP="00A76E9D">
      <w:pPr>
        <w:pStyle w:val="BodyTextGrey"/>
        <w:spacing w:after="0" w:line="240" w:lineRule="auto"/>
        <w:ind w:left="720"/>
        <w:rPr>
          <w:color w:val="auto"/>
          <w:sz w:val="24"/>
          <w:szCs w:val="24"/>
        </w:rPr>
      </w:pPr>
      <w:r>
        <w:rPr>
          <w:color w:val="auto"/>
          <w:sz w:val="24"/>
          <w:szCs w:val="24"/>
        </w:rPr>
        <w:tab/>
      </w:r>
      <w:r>
        <w:rPr>
          <w:color w:val="auto"/>
          <w:sz w:val="24"/>
          <w:szCs w:val="24"/>
        </w:rPr>
        <w:tab/>
      </w:r>
      <w:r>
        <w:rPr>
          <w:color w:val="auto"/>
          <w:sz w:val="24"/>
          <w:szCs w:val="24"/>
        </w:rPr>
        <w:tab/>
      </w:r>
      <w:r w:rsidRPr="001B5C7B">
        <w:rPr>
          <w:color w:val="auto"/>
          <w:sz w:val="24"/>
          <w:szCs w:val="24"/>
        </w:rPr>
        <w:t>Councillor Sade Bright</w:t>
      </w:r>
    </w:p>
    <w:p w:rsidR="00A76E9D" w:rsidRPr="001B5C7B" w:rsidRDefault="00A76E9D" w:rsidP="00A76E9D">
      <w:pPr>
        <w:pStyle w:val="BodyTextGrey"/>
        <w:spacing w:after="0" w:line="240" w:lineRule="auto"/>
        <w:ind w:left="720"/>
        <w:rPr>
          <w:color w:val="auto"/>
          <w:sz w:val="24"/>
          <w:szCs w:val="24"/>
        </w:rPr>
      </w:pPr>
      <w:r w:rsidRPr="001B5C7B">
        <w:rPr>
          <w:color w:val="auto"/>
          <w:sz w:val="24"/>
          <w:szCs w:val="24"/>
        </w:rPr>
        <w:tab/>
      </w:r>
      <w:r w:rsidRPr="001B5C7B">
        <w:rPr>
          <w:color w:val="auto"/>
          <w:sz w:val="24"/>
          <w:szCs w:val="24"/>
        </w:rPr>
        <w:tab/>
      </w:r>
      <w:r>
        <w:rPr>
          <w:color w:val="auto"/>
          <w:sz w:val="24"/>
          <w:szCs w:val="24"/>
        </w:rPr>
        <w:tab/>
      </w:r>
      <w:r w:rsidRPr="001B5C7B">
        <w:rPr>
          <w:color w:val="auto"/>
          <w:sz w:val="24"/>
          <w:szCs w:val="24"/>
        </w:rPr>
        <w:t>Councillor Edna Fergus</w:t>
      </w:r>
    </w:p>
    <w:p w:rsidR="00A76E9D" w:rsidRPr="001B5C7B" w:rsidRDefault="00A76E9D" w:rsidP="00A76E9D">
      <w:pPr>
        <w:pStyle w:val="BodyTextGrey"/>
        <w:spacing w:after="0" w:line="240" w:lineRule="auto"/>
        <w:ind w:left="720"/>
        <w:rPr>
          <w:color w:val="auto"/>
          <w:sz w:val="24"/>
          <w:szCs w:val="24"/>
        </w:rPr>
      </w:pPr>
      <w:r w:rsidRPr="001B5C7B">
        <w:rPr>
          <w:color w:val="auto"/>
          <w:sz w:val="24"/>
          <w:szCs w:val="24"/>
        </w:rPr>
        <w:tab/>
      </w:r>
      <w:r w:rsidRPr="001B5C7B">
        <w:rPr>
          <w:color w:val="auto"/>
          <w:sz w:val="24"/>
          <w:szCs w:val="24"/>
        </w:rPr>
        <w:tab/>
      </w:r>
      <w:r>
        <w:rPr>
          <w:color w:val="auto"/>
          <w:sz w:val="24"/>
          <w:szCs w:val="24"/>
        </w:rPr>
        <w:tab/>
      </w:r>
      <w:r w:rsidRPr="001B5C7B">
        <w:rPr>
          <w:color w:val="auto"/>
          <w:sz w:val="24"/>
          <w:szCs w:val="24"/>
        </w:rPr>
        <w:t xml:space="preserve">Councillor James Ogungbose   </w:t>
      </w:r>
    </w:p>
    <w:p w:rsidR="00A76E9D" w:rsidRPr="001B5C7B" w:rsidRDefault="00A76E9D" w:rsidP="00A76E9D">
      <w:pPr>
        <w:pStyle w:val="BodyTextGrey"/>
        <w:spacing w:after="0" w:line="240" w:lineRule="auto"/>
        <w:ind w:left="720"/>
        <w:rPr>
          <w:color w:val="auto"/>
          <w:sz w:val="24"/>
          <w:szCs w:val="24"/>
        </w:rPr>
      </w:pPr>
      <w:r w:rsidRPr="001B5C7B">
        <w:rPr>
          <w:color w:val="auto"/>
          <w:sz w:val="24"/>
          <w:szCs w:val="24"/>
        </w:rPr>
        <w:tab/>
      </w:r>
      <w:r w:rsidRPr="001B5C7B">
        <w:rPr>
          <w:color w:val="auto"/>
          <w:sz w:val="24"/>
          <w:szCs w:val="24"/>
        </w:rPr>
        <w:tab/>
      </w:r>
      <w:r>
        <w:rPr>
          <w:color w:val="auto"/>
          <w:sz w:val="24"/>
          <w:szCs w:val="24"/>
        </w:rPr>
        <w:tab/>
      </w:r>
      <w:r w:rsidRPr="001B5C7B">
        <w:rPr>
          <w:color w:val="auto"/>
          <w:sz w:val="24"/>
          <w:szCs w:val="24"/>
        </w:rPr>
        <w:t>Councillor John White</w:t>
      </w:r>
    </w:p>
    <w:p w:rsidR="00A76E9D" w:rsidRDefault="00A76E9D" w:rsidP="00A76E9D">
      <w:pPr>
        <w:pStyle w:val="BodyTextGrey"/>
        <w:spacing w:after="0" w:line="240" w:lineRule="auto"/>
        <w:ind w:left="720"/>
        <w:rPr>
          <w:color w:val="auto"/>
          <w:sz w:val="24"/>
          <w:szCs w:val="24"/>
        </w:rPr>
      </w:pPr>
      <w:r w:rsidRPr="001B5C7B">
        <w:rPr>
          <w:color w:val="auto"/>
          <w:sz w:val="24"/>
          <w:szCs w:val="24"/>
        </w:rPr>
        <w:tab/>
      </w:r>
      <w:r w:rsidRPr="001B5C7B">
        <w:rPr>
          <w:color w:val="auto"/>
          <w:sz w:val="24"/>
          <w:szCs w:val="24"/>
        </w:rPr>
        <w:tab/>
      </w:r>
      <w:r>
        <w:rPr>
          <w:color w:val="auto"/>
          <w:sz w:val="24"/>
          <w:szCs w:val="24"/>
        </w:rPr>
        <w:tab/>
      </w:r>
      <w:r w:rsidRPr="001B5C7B">
        <w:rPr>
          <w:color w:val="auto"/>
          <w:sz w:val="24"/>
          <w:szCs w:val="24"/>
        </w:rPr>
        <w:t>Councillor Jeff Wade</w:t>
      </w:r>
    </w:p>
    <w:p w:rsidR="00A76E9D" w:rsidRDefault="00A76E9D" w:rsidP="00A76E9D">
      <w:pPr>
        <w:pStyle w:val="BodyTextGrey"/>
        <w:spacing w:after="0"/>
        <w:rPr>
          <w:color w:val="auto"/>
          <w:sz w:val="24"/>
          <w:szCs w:val="24"/>
        </w:rPr>
      </w:pPr>
    </w:p>
    <w:p w:rsidR="00A76E9D" w:rsidRDefault="00A76E9D" w:rsidP="00A76E9D">
      <w:pPr>
        <w:pStyle w:val="BodyTextGrey"/>
        <w:spacing w:after="0"/>
        <w:rPr>
          <w:b/>
          <w:color w:val="auto"/>
          <w:sz w:val="24"/>
          <w:szCs w:val="24"/>
        </w:rPr>
      </w:pPr>
      <w:r w:rsidRPr="001B5C7B">
        <w:rPr>
          <w:b/>
          <w:color w:val="auto"/>
          <w:sz w:val="24"/>
          <w:szCs w:val="24"/>
        </w:rPr>
        <w:t>Non-Voting Members</w:t>
      </w:r>
    </w:p>
    <w:p w:rsidR="00A76E9D" w:rsidRDefault="00A76E9D" w:rsidP="00A76E9D">
      <w:pPr>
        <w:pStyle w:val="BodyTextGrey"/>
        <w:spacing w:after="0"/>
        <w:rPr>
          <w:b/>
          <w:color w:val="auto"/>
          <w:sz w:val="24"/>
          <w:szCs w:val="24"/>
        </w:rPr>
      </w:pPr>
    </w:p>
    <w:p w:rsidR="00A76E9D" w:rsidRPr="001B5C7B" w:rsidRDefault="00A76E9D" w:rsidP="00A76E9D">
      <w:pPr>
        <w:pStyle w:val="BodyTextGrey"/>
        <w:spacing w:after="0"/>
        <w:rPr>
          <w:color w:val="auto"/>
          <w:sz w:val="24"/>
          <w:szCs w:val="24"/>
        </w:rPr>
      </w:pPr>
      <w:r w:rsidRPr="001B5C7B">
        <w:rPr>
          <w:color w:val="auto"/>
          <w:sz w:val="24"/>
          <w:szCs w:val="24"/>
        </w:rPr>
        <w:t xml:space="preserve">Union Representative: </w:t>
      </w:r>
      <w:r>
        <w:rPr>
          <w:color w:val="auto"/>
          <w:sz w:val="24"/>
          <w:szCs w:val="24"/>
        </w:rPr>
        <w:tab/>
      </w:r>
      <w:r w:rsidRPr="001B5C7B">
        <w:rPr>
          <w:color w:val="auto"/>
          <w:sz w:val="24"/>
          <w:szCs w:val="24"/>
        </w:rPr>
        <w:t xml:space="preserve">Gavin Palmer (GMB) </w:t>
      </w:r>
    </w:p>
    <w:p w:rsidR="00A76E9D" w:rsidRPr="001B5C7B" w:rsidRDefault="00A76E9D" w:rsidP="00A76E9D">
      <w:pPr>
        <w:pStyle w:val="BodyTextGrey"/>
        <w:spacing w:after="0"/>
        <w:rPr>
          <w:color w:val="auto"/>
          <w:sz w:val="24"/>
          <w:szCs w:val="24"/>
        </w:rPr>
      </w:pPr>
      <w:r w:rsidRPr="001B5C7B">
        <w:rPr>
          <w:color w:val="auto"/>
          <w:sz w:val="24"/>
          <w:szCs w:val="24"/>
        </w:rPr>
        <w:t xml:space="preserve">Member Representative: </w:t>
      </w:r>
      <w:r>
        <w:rPr>
          <w:color w:val="auto"/>
          <w:sz w:val="24"/>
          <w:szCs w:val="24"/>
        </w:rPr>
        <w:tab/>
      </w:r>
      <w:r w:rsidRPr="001B5C7B">
        <w:rPr>
          <w:color w:val="auto"/>
          <w:sz w:val="24"/>
          <w:szCs w:val="24"/>
        </w:rPr>
        <w:t xml:space="preserve">Bernie Hanreck </w:t>
      </w:r>
    </w:p>
    <w:p w:rsidR="00A76E9D" w:rsidRDefault="00A76E9D" w:rsidP="00A76E9D">
      <w:pPr>
        <w:pStyle w:val="BodyTextGrey"/>
        <w:spacing w:after="0" w:line="240" w:lineRule="auto"/>
        <w:rPr>
          <w:color w:val="auto"/>
          <w:sz w:val="24"/>
          <w:szCs w:val="24"/>
        </w:rPr>
      </w:pPr>
      <w:r>
        <w:rPr>
          <w:color w:val="auto"/>
          <w:sz w:val="24"/>
          <w:szCs w:val="24"/>
        </w:rPr>
        <w:t>Employer</w:t>
      </w:r>
      <w:r w:rsidRPr="001B5C7B">
        <w:rPr>
          <w:color w:val="auto"/>
          <w:sz w:val="24"/>
          <w:szCs w:val="24"/>
        </w:rPr>
        <w:t xml:space="preserve"> Representative: </w:t>
      </w:r>
      <w:r>
        <w:rPr>
          <w:color w:val="auto"/>
          <w:sz w:val="24"/>
          <w:szCs w:val="24"/>
        </w:rPr>
        <w:tab/>
      </w:r>
      <w:r w:rsidRPr="001B5C7B">
        <w:rPr>
          <w:color w:val="auto"/>
          <w:sz w:val="24"/>
          <w:szCs w:val="24"/>
        </w:rPr>
        <w:t>Dusty Amroliwala (UEL)</w:t>
      </w:r>
    </w:p>
    <w:p w:rsidR="00A76E9D" w:rsidRPr="00DF6F04" w:rsidRDefault="00A76E9D" w:rsidP="00A76E9D">
      <w:pPr>
        <w:pStyle w:val="BodyTextGrey"/>
        <w:spacing w:after="0" w:line="240" w:lineRule="auto"/>
        <w:rPr>
          <w:color w:val="auto"/>
          <w:sz w:val="24"/>
          <w:szCs w:val="24"/>
        </w:rPr>
      </w:pPr>
    </w:p>
    <w:p w:rsidR="00A76E9D" w:rsidRPr="00DF6F04" w:rsidRDefault="00A76E9D" w:rsidP="00A76E9D">
      <w:pPr>
        <w:pStyle w:val="BodyTextGrey"/>
        <w:spacing w:after="0" w:line="240" w:lineRule="auto"/>
        <w:jc w:val="both"/>
        <w:rPr>
          <w:color w:val="auto"/>
          <w:sz w:val="24"/>
          <w:szCs w:val="24"/>
        </w:rPr>
      </w:pPr>
      <w:r w:rsidRPr="00372001">
        <w:rPr>
          <w:color w:val="auto"/>
          <w:sz w:val="24"/>
          <w:szCs w:val="24"/>
        </w:rPr>
        <w:t>In preparing the ISS the Panel has consulted with the administrating authority and other principal employers within the Fund and has taken and considered proper written advice from the Aon Hewitt and John Raisin Financial Services Limited.</w:t>
      </w:r>
    </w:p>
    <w:p w:rsidR="00A76E9D" w:rsidRPr="00DF6F04" w:rsidRDefault="00A76E9D" w:rsidP="00A76E9D">
      <w:pPr>
        <w:pStyle w:val="BodyTextGrey"/>
        <w:spacing w:after="0" w:line="240" w:lineRule="auto"/>
        <w:jc w:val="both"/>
        <w:rPr>
          <w:color w:val="auto"/>
          <w:sz w:val="24"/>
          <w:szCs w:val="24"/>
        </w:rPr>
      </w:pPr>
    </w:p>
    <w:p w:rsidR="00A76E9D" w:rsidRPr="00B06A1E" w:rsidRDefault="00A76E9D" w:rsidP="00A76E9D">
      <w:pPr>
        <w:pStyle w:val="BodyTextGrey"/>
        <w:spacing w:after="0" w:line="240" w:lineRule="auto"/>
        <w:jc w:val="both"/>
        <w:rPr>
          <w:color w:val="auto"/>
          <w:sz w:val="24"/>
          <w:szCs w:val="24"/>
        </w:rPr>
      </w:pPr>
      <w:r w:rsidRPr="00DF6F04">
        <w:rPr>
          <w:color w:val="auto"/>
          <w:sz w:val="24"/>
          <w:szCs w:val="24"/>
        </w:rPr>
        <w:t>In Appendix A, the Panel has set out details of the extent to which the Fund complies with the six principles set out in the Chartered Institute of Public Finance and Accountancy’s (CIPFA) publication, ‘Investment Decision Making and Disclosure in the Local Government Pension Scheme 20</w:t>
      </w:r>
      <w:r>
        <w:rPr>
          <w:color w:val="auto"/>
          <w:sz w:val="24"/>
          <w:szCs w:val="24"/>
        </w:rPr>
        <w:t>12</w:t>
      </w:r>
      <w:r w:rsidRPr="00DF6F04">
        <w:rPr>
          <w:color w:val="auto"/>
          <w:sz w:val="24"/>
          <w:szCs w:val="24"/>
        </w:rPr>
        <w:t xml:space="preserve"> – a guide to the application of the 2008 </w:t>
      </w:r>
      <w:r w:rsidRPr="00B06A1E">
        <w:rPr>
          <w:color w:val="auto"/>
          <w:sz w:val="24"/>
          <w:szCs w:val="24"/>
        </w:rPr>
        <w:t>Myners Principles to the management of LGPS funds’.</w:t>
      </w:r>
    </w:p>
    <w:p w:rsidR="00A76E9D" w:rsidRPr="00B06A1E" w:rsidRDefault="00A76E9D" w:rsidP="00A76E9D">
      <w:pPr>
        <w:pStyle w:val="BodyTextGrey"/>
        <w:spacing w:after="0" w:line="240" w:lineRule="auto"/>
        <w:jc w:val="both"/>
        <w:rPr>
          <w:color w:val="auto"/>
          <w:sz w:val="24"/>
          <w:szCs w:val="24"/>
        </w:rPr>
      </w:pPr>
    </w:p>
    <w:p w:rsidR="00A76E9D" w:rsidRPr="00DF6F04" w:rsidRDefault="00A76E9D" w:rsidP="00A76E9D">
      <w:pPr>
        <w:pStyle w:val="BodyTextGrey"/>
        <w:spacing w:after="0" w:line="240" w:lineRule="auto"/>
        <w:jc w:val="both"/>
        <w:rPr>
          <w:color w:val="auto"/>
          <w:sz w:val="24"/>
          <w:szCs w:val="24"/>
        </w:rPr>
      </w:pPr>
      <w:r w:rsidRPr="00B06A1E">
        <w:rPr>
          <w:color w:val="auto"/>
          <w:sz w:val="24"/>
          <w:szCs w:val="24"/>
        </w:rPr>
        <w:t>Although under the LGPS Investment Regulations 2016 an Administering Authority is no longer required to report the extent of their compliance against the Myners Principles, the London Borough of Barking and Dagenham has decided to continue to report this, as an appendix to the ISS, as it considers this to be both good governance practice and an element of good investment practice.</w:t>
      </w:r>
    </w:p>
    <w:p w:rsidR="00A76E9D" w:rsidRDefault="00A76E9D" w:rsidP="00A76E9D">
      <w:pPr>
        <w:pStyle w:val="BodyTextGrey"/>
        <w:spacing w:after="0" w:line="240" w:lineRule="auto"/>
        <w:jc w:val="both"/>
        <w:rPr>
          <w:color w:val="auto"/>
          <w:sz w:val="24"/>
          <w:szCs w:val="24"/>
        </w:rPr>
      </w:pPr>
    </w:p>
    <w:p w:rsidR="00A76E9D" w:rsidRDefault="00A76E9D" w:rsidP="00A76E9D">
      <w:pPr>
        <w:pStyle w:val="BodyTextGrey"/>
        <w:spacing w:after="0" w:line="240" w:lineRule="auto"/>
        <w:jc w:val="both"/>
        <w:rPr>
          <w:color w:val="auto"/>
          <w:sz w:val="24"/>
          <w:szCs w:val="24"/>
        </w:rPr>
      </w:pPr>
    </w:p>
    <w:p w:rsidR="00A76E9D" w:rsidRPr="00DF6F04" w:rsidRDefault="00A76E9D" w:rsidP="00A76E9D">
      <w:pPr>
        <w:pStyle w:val="Heading2"/>
        <w:jc w:val="both"/>
        <w:rPr>
          <w:rFonts w:ascii="Arial" w:hAnsi="Arial" w:cs="Arial"/>
          <w:szCs w:val="24"/>
        </w:rPr>
      </w:pPr>
      <w:r w:rsidRPr="00DF6F04">
        <w:rPr>
          <w:rFonts w:ascii="Arial" w:hAnsi="Arial" w:cs="Arial"/>
          <w:szCs w:val="24"/>
        </w:rPr>
        <w:lastRenderedPageBreak/>
        <w:t xml:space="preserve">Fund Objective </w:t>
      </w:r>
    </w:p>
    <w:p w:rsidR="00A76E9D" w:rsidRPr="00DF6F04" w:rsidRDefault="00A76E9D" w:rsidP="00A76E9D">
      <w:pPr>
        <w:pStyle w:val="BodyTextGrey"/>
        <w:spacing w:after="0" w:line="240" w:lineRule="auto"/>
        <w:jc w:val="both"/>
        <w:rPr>
          <w:color w:val="auto"/>
          <w:sz w:val="24"/>
          <w:szCs w:val="24"/>
        </w:rPr>
      </w:pPr>
    </w:p>
    <w:p w:rsidR="00A76E9D" w:rsidRPr="00DF6F04" w:rsidRDefault="00A76E9D" w:rsidP="00A76E9D">
      <w:pPr>
        <w:pStyle w:val="BodyTextGrey"/>
        <w:spacing w:after="0" w:line="240" w:lineRule="auto"/>
        <w:jc w:val="both"/>
        <w:rPr>
          <w:color w:val="auto"/>
          <w:sz w:val="24"/>
          <w:szCs w:val="24"/>
        </w:rPr>
      </w:pPr>
      <w:r w:rsidRPr="00DF6F04">
        <w:rPr>
          <w:color w:val="auto"/>
          <w:sz w:val="24"/>
          <w:szCs w:val="24"/>
        </w:rPr>
        <w:t xml:space="preserve">The primary objective of the Fund is to provide pension and lump sum benefits for members on their retirement and/or benefits on death, before or after retirement, for their dependents, on a defined benefits basis. </w:t>
      </w:r>
    </w:p>
    <w:p w:rsidR="00A76E9D" w:rsidRPr="00DF6F04" w:rsidRDefault="00A76E9D" w:rsidP="00A76E9D">
      <w:pPr>
        <w:pStyle w:val="BodyTextGrey"/>
        <w:spacing w:after="0" w:line="240" w:lineRule="auto"/>
        <w:jc w:val="both"/>
        <w:rPr>
          <w:b/>
          <w:color w:val="auto"/>
          <w:sz w:val="24"/>
          <w:szCs w:val="24"/>
        </w:rPr>
      </w:pPr>
    </w:p>
    <w:p w:rsidR="00A76E9D" w:rsidRPr="00DF6F04" w:rsidRDefault="00A76E9D" w:rsidP="00A76E9D">
      <w:pPr>
        <w:pStyle w:val="BodyTextGrey"/>
        <w:spacing w:after="0" w:line="240" w:lineRule="auto"/>
        <w:jc w:val="both"/>
        <w:rPr>
          <w:color w:val="auto"/>
          <w:sz w:val="24"/>
          <w:szCs w:val="24"/>
        </w:rPr>
      </w:pPr>
      <w:r w:rsidRPr="00DF6F04">
        <w:rPr>
          <w:color w:val="auto"/>
          <w:sz w:val="24"/>
          <w:szCs w:val="24"/>
        </w:rPr>
        <w:t xml:space="preserve">The Panel aims to fund the Fund in such a manner that, in normal market conditions, all accrued benefits are fully covered by the value of the Fund's assets and that an appropriate level of </w:t>
      </w:r>
      <w:r>
        <w:rPr>
          <w:color w:val="auto"/>
          <w:sz w:val="24"/>
          <w:szCs w:val="24"/>
        </w:rPr>
        <w:t xml:space="preserve">employer </w:t>
      </w:r>
      <w:r w:rsidRPr="00DF6F04">
        <w:rPr>
          <w:color w:val="auto"/>
          <w:sz w:val="24"/>
          <w:szCs w:val="24"/>
        </w:rPr>
        <w:t xml:space="preserve">contributions is </w:t>
      </w:r>
      <w:r>
        <w:rPr>
          <w:color w:val="auto"/>
          <w:sz w:val="24"/>
          <w:szCs w:val="24"/>
        </w:rPr>
        <w:t xml:space="preserve">set </w:t>
      </w:r>
      <w:r w:rsidRPr="00DF6F04">
        <w:rPr>
          <w:color w:val="auto"/>
          <w:sz w:val="24"/>
          <w:szCs w:val="24"/>
        </w:rPr>
        <w:t>to meet the cost of future benefits accruing. For employee members, benefits will be based on service completed but will take account of future salary increases.</w:t>
      </w:r>
    </w:p>
    <w:p w:rsidR="00A76E9D" w:rsidRPr="00DF6F04" w:rsidRDefault="00A76E9D" w:rsidP="00A76E9D">
      <w:pPr>
        <w:pStyle w:val="BodyTextGrey"/>
        <w:spacing w:after="0" w:line="240" w:lineRule="auto"/>
        <w:jc w:val="both"/>
        <w:rPr>
          <w:color w:val="auto"/>
          <w:sz w:val="24"/>
          <w:szCs w:val="24"/>
        </w:rPr>
      </w:pPr>
    </w:p>
    <w:p w:rsidR="00A76E9D" w:rsidRDefault="00A76E9D" w:rsidP="00A76E9D">
      <w:pPr>
        <w:pStyle w:val="BodyTextGrey"/>
        <w:spacing w:after="0" w:line="240" w:lineRule="auto"/>
        <w:jc w:val="both"/>
        <w:rPr>
          <w:color w:val="auto"/>
          <w:sz w:val="24"/>
          <w:szCs w:val="24"/>
        </w:rPr>
      </w:pPr>
      <w:r w:rsidRPr="00B87B94">
        <w:rPr>
          <w:color w:val="auto"/>
          <w:sz w:val="24"/>
          <w:szCs w:val="24"/>
        </w:rPr>
        <w:t xml:space="preserve">This funding position will be reviewed at each triennial actuarial valuation of the Fund, or more frequently as required. The most recent triennial valuation took place in 2016, with the contribution rates effective from 1 April 2017. </w:t>
      </w:r>
    </w:p>
    <w:p w:rsidR="00A76E9D" w:rsidRPr="00DF6F04" w:rsidRDefault="00A76E9D" w:rsidP="00A76E9D">
      <w:pPr>
        <w:pStyle w:val="BodyTextGrey"/>
        <w:spacing w:after="0" w:line="240" w:lineRule="auto"/>
        <w:jc w:val="both"/>
        <w:rPr>
          <w:b/>
        </w:rPr>
      </w:pPr>
    </w:p>
    <w:p w:rsidR="00A76E9D" w:rsidRPr="00DF6F04" w:rsidRDefault="00A76E9D" w:rsidP="00A76E9D">
      <w:pPr>
        <w:pStyle w:val="Heading2"/>
        <w:jc w:val="both"/>
        <w:rPr>
          <w:rFonts w:ascii="Arial" w:hAnsi="Arial" w:cs="Arial"/>
          <w:szCs w:val="24"/>
        </w:rPr>
      </w:pPr>
      <w:r w:rsidRPr="00DF6F04">
        <w:rPr>
          <w:rFonts w:ascii="Arial" w:hAnsi="Arial" w:cs="Arial"/>
          <w:szCs w:val="24"/>
        </w:rPr>
        <w:t xml:space="preserve">Investment Strategy </w:t>
      </w:r>
    </w:p>
    <w:p w:rsidR="00A76E9D" w:rsidRPr="00DF6F04" w:rsidRDefault="00A76E9D" w:rsidP="00A76E9D"/>
    <w:p w:rsidR="00A76E9D" w:rsidRPr="005E04CD" w:rsidRDefault="00A76E9D" w:rsidP="00A76E9D">
      <w:pPr>
        <w:pStyle w:val="BodyTextGrey"/>
        <w:spacing w:after="0" w:line="240" w:lineRule="auto"/>
        <w:jc w:val="both"/>
        <w:rPr>
          <w:color w:val="auto"/>
          <w:sz w:val="24"/>
          <w:szCs w:val="24"/>
        </w:rPr>
      </w:pPr>
      <w:r w:rsidRPr="005E04CD">
        <w:rPr>
          <w:color w:val="auto"/>
          <w:sz w:val="24"/>
          <w:szCs w:val="24"/>
        </w:rPr>
        <w:t>The Panel has translated its objectives into a suitable strategic asset allocation benchmark fo</w:t>
      </w:r>
      <w:r>
        <w:rPr>
          <w:color w:val="auto"/>
          <w:sz w:val="24"/>
          <w:szCs w:val="24"/>
        </w:rPr>
        <w:t>r the Fund (Appendix B). Within t</w:t>
      </w:r>
      <w:r w:rsidRPr="005E04CD">
        <w:rPr>
          <w:color w:val="auto"/>
          <w:sz w:val="24"/>
          <w:szCs w:val="24"/>
        </w:rPr>
        <w:t>he strategic benchmark the investment structure adopted by the Panel</w:t>
      </w:r>
      <w:r>
        <w:rPr>
          <w:color w:val="auto"/>
          <w:sz w:val="24"/>
          <w:szCs w:val="24"/>
        </w:rPr>
        <w:t xml:space="preserve"> </w:t>
      </w:r>
      <w:r w:rsidRPr="005E04CD">
        <w:rPr>
          <w:color w:val="auto"/>
          <w:sz w:val="24"/>
          <w:szCs w:val="24"/>
        </w:rPr>
        <w:t>comprises a mix of segregated and pooled manager mandates, including actively managed and passive mandates. The Fund benchmark is consistent with the Panel’s views on the appropriate balance between generating a satisfactory long-term return on investments whilst taking account of market volatility and risk and the nature of the Fund’s liabilities.</w:t>
      </w:r>
      <w:r>
        <w:rPr>
          <w:color w:val="auto"/>
          <w:sz w:val="24"/>
          <w:szCs w:val="24"/>
        </w:rPr>
        <w:t xml:space="preserve"> </w:t>
      </w:r>
      <w:r w:rsidRPr="00B06A1E">
        <w:rPr>
          <w:color w:val="auto"/>
          <w:sz w:val="24"/>
          <w:szCs w:val="24"/>
        </w:rPr>
        <w:t>All day to day investment decisions have been delegated to the Fund’s authorised investment managers.</w:t>
      </w:r>
    </w:p>
    <w:p w:rsidR="00A76E9D" w:rsidRPr="005E04CD" w:rsidRDefault="00A76E9D" w:rsidP="00A76E9D">
      <w:pPr>
        <w:pStyle w:val="BodyTextGrey"/>
        <w:spacing w:after="0" w:line="240" w:lineRule="auto"/>
        <w:jc w:val="both"/>
        <w:rPr>
          <w:color w:val="auto"/>
          <w:sz w:val="24"/>
          <w:szCs w:val="24"/>
        </w:rPr>
      </w:pPr>
    </w:p>
    <w:p w:rsidR="00A76E9D" w:rsidRPr="00DF6F04" w:rsidRDefault="00A76E9D" w:rsidP="00A76E9D">
      <w:pPr>
        <w:pStyle w:val="BodyTextGrey"/>
        <w:spacing w:after="0" w:line="240" w:lineRule="auto"/>
        <w:jc w:val="both"/>
        <w:rPr>
          <w:color w:val="auto"/>
          <w:sz w:val="24"/>
          <w:szCs w:val="24"/>
        </w:rPr>
      </w:pPr>
      <w:r w:rsidRPr="005E04CD">
        <w:rPr>
          <w:color w:val="auto"/>
          <w:sz w:val="24"/>
          <w:szCs w:val="24"/>
        </w:rPr>
        <w:t xml:space="preserve">The Panel monitors investment strategy relative to the agreed asset allocation benchmark. </w:t>
      </w:r>
      <w:r>
        <w:rPr>
          <w:color w:val="auto"/>
          <w:sz w:val="24"/>
          <w:szCs w:val="24"/>
        </w:rPr>
        <w:t>The</w:t>
      </w:r>
      <w:r w:rsidRPr="005E04CD">
        <w:rPr>
          <w:color w:val="auto"/>
          <w:sz w:val="24"/>
          <w:szCs w:val="24"/>
        </w:rPr>
        <w:t xml:space="preserve"> investment strategy will be reviewed at least every three years following actuarial valuations of the Fund</w:t>
      </w:r>
      <w:r w:rsidRPr="00DF6F04">
        <w:rPr>
          <w:color w:val="auto"/>
          <w:sz w:val="24"/>
          <w:szCs w:val="24"/>
        </w:rPr>
        <w:t xml:space="preserve">.  </w:t>
      </w:r>
    </w:p>
    <w:p w:rsidR="00A76E9D" w:rsidRPr="00DF6F04" w:rsidRDefault="00A76E9D" w:rsidP="00A76E9D">
      <w:pPr>
        <w:pStyle w:val="BodyTextGrey"/>
        <w:spacing w:after="0" w:line="240" w:lineRule="auto"/>
        <w:jc w:val="both"/>
        <w:rPr>
          <w:color w:val="auto"/>
          <w:sz w:val="24"/>
          <w:szCs w:val="24"/>
        </w:rPr>
      </w:pPr>
    </w:p>
    <w:p w:rsidR="00A76E9D" w:rsidRPr="00E9253D" w:rsidRDefault="00A76E9D" w:rsidP="00A76E9D">
      <w:pPr>
        <w:pStyle w:val="Heading2"/>
        <w:jc w:val="both"/>
        <w:rPr>
          <w:rFonts w:ascii="Arial" w:hAnsi="Arial" w:cs="Arial"/>
          <w:szCs w:val="24"/>
        </w:rPr>
      </w:pPr>
      <w:r>
        <w:rPr>
          <w:rFonts w:ascii="Arial" w:hAnsi="Arial" w:cs="Arial"/>
          <w:szCs w:val="24"/>
        </w:rPr>
        <w:t xml:space="preserve">Pooling Investments </w:t>
      </w:r>
      <w:r w:rsidRPr="00E9253D">
        <w:rPr>
          <w:rFonts w:ascii="Arial" w:hAnsi="Arial" w:cs="Arial"/>
          <w:b w:val="0"/>
          <w:szCs w:val="24"/>
        </w:rPr>
        <w:t>(</w:t>
      </w:r>
      <w:r w:rsidRPr="00E9253D">
        <w:rPr>
          <w:rFonts w:ascii="Arial" w:hAnsi="Arial" w:cs="Arial"/>
          <w:b w:val="0"/>
          <w:bCs/>
          <w:szCs w:val="24"/>
        </w:rPr>
        <w:t>Regulation 7(2)(d) - The approach to pooling investments, including the use of collective investment vehicles and shared services)</w:t>
      </w:r>
      <w:r>
        <w:rPr>
          <w:rFonts w:ascii="Arial" w:hAnsi="Arial" w:cs="Arial"/>
          <w:b w:val="0"/>
          <w:bCs/>
          <w:szCs w:val="24"/>
        </w:rPr>
        <w:t>.</w:t>
      </w:r>
    </w:p>
    <w:p w:rsidR="00A76E9D" w:rsidRPr="003F4E62" w:rsidRDefault="00A76E9D" w:rsidP="00A76E9D">
      <w:pPr>
        <w:rPr>
          <w:rFonts w:ascii="Arial" w:hAnsi="Arial" w:cs="Arial"/>
          <w:lang w:eastAsia="en-US"/>
        </w:rPr>
      </w:pPr>
    </w:p>
    <w:p w:rsidR="00A76E9D" w:rsidRPr="003F4E62" w:rsidRDefault="00A76E9D" w:rsidP="00A76E9D">
      <w:pPr>
        <w:jc w:val="both"/>
        <w:rPr>
          <w:rFonts w:ascii="Arial" w:hAnsi="Arial" w:cs="Arial"/>
          <w:lang w:eastAsia="en-US"/>
        </w:rPr>
      </w:pPr>
      <w:r>
        <w:rPr>
          <w:rFonts w:ascii="Arial" w:hAnsi="Arial" w:cs="Arial"/>
          <w:bCs/>
        </w:rPr>
        <w:t>The Fund has formally agreed to join the London Collective Investment Vehicle (LCIV) as part of the Government’s pooling agenda.</w:t>
      </w:r>
      <w:r w:rsidRPr="003F4E62">
        <w:rPr>
          <w:rFonts w:ascii="Arial" w:hAnsi="Arial" w:cs="Arial"/>
          <w:lang w:eastAsia="en-US"/>
        </w:rPr>
        <w:t xml:space="preserve"> The LCIV is fully authorised by the FCA as an Alternative Investment Fund Manager (“AIFM”) with permission to operate a UK based Authorised Contractual Scheme fund (the “ACS Fund”). The ACS Fund, which is tax transparent in the context of international tax treaties, will be structured as an umbrella fund with a range of sub-funds providing access, over time, to the full range of asset classes that the boroughs require to implement their investment strategies.</w:t>
      </w:r>
    </w:p>
    <w:p w:rsidR="00A76E9D" w:rsidRPr="003F4E62" w:rsidRDefault="00A76E9D" w:rsidP="00A76E9D">
      <w:pPr>
        <w:jc w:val="both"/>
        <w:rPr>
          <w:rFonts w:ascii="Arial" w:hAnsi="Arial" w:cs="Arial"/>
          <w:lang w:eastAsia="en-US"/>
        </w:rPr>
      </w:pPr>
    </w:p>
    <w:p w:rsidR="00A76E9D" w:rsidRPr="003F4E62" w:rsidRDefault="00A76E9D" w:rsidP="00A76E9D">
      <w:pPr>
        <w:jc w:val="both"/>
        <w:rPr>
          <w:rFonts w:ascii="Arial" w:hAnsi="Arial" w:cs="Arial"/>
          <w:lang w:eastAsia="en-US"/>
        </w:rPr>
      </w:pPr>
      <w:r w:rsidRPr="00B06A1E">
        <w:rPr>
          <w:rFonts w:ascii="Arial" w:hAnsi="Arial" w:cs="Arial"/>
          <w:lang w:eastAsia="en-US"/>
        </w:rPr>
        <w:t xml:space="preserve">For all future investments, where there is a suitable asset class provided, the Fund will seek to utilise the LCIV. Unless prohibited by Regulation or Statutory Guidance where the asset class is not available via the LCIV and it is not appropriate to access it via a passive allocation, the Fund will seek clarification from </w:t>
      </w:r>
      <w:r>
        <w:rPr>
          <w:rFonts w:ascii="Arial" w:hAnsi="Arial" w:cs="Arial"/>
          <w:lang w:eastAsia="en-US"/>
        </w:rPr>
        <w:t>DCLG</w:t>
      </w:r>
      <w:r w:rsidRPr="00B06A1E">
        <w:rPr>
          <w:rFonts w:ascii="Arial" w:hAnsi="Arial" w:cs="Arial"/>
          <w:lang w:eastAsia="en-US"/>
        </w:rPr>
        <w:t xml:space="preserve"> as to whether the Fund can tender for a suitable manager.</w:t>
      </w:r>
    </w:p>
    <w:p w:rsidR="00A76E9D" w:rsidRDefault="00A76E9D" w:rsidP="00A76E9D">
      <w:pPr>
        <w:jc w:val="both"/>
        <w:rPr>
          <w:rFonts w:ascii="Arial" w:hAnsi="Arial" w:cs="Arial"/>
          <w:lang w:eastAsia="en-US"/>
        </w:rPr>
      </w:pPr>
    </w:p>
    <w:p w:rsidR="00A76E9D" w:rsidRDefault="00A76E9D" w:rsidP="00A76E9D">
      <w:pPr>
        <w:jc w:val="both"/>
        <w:rPr>
          <w:rFonts w:ascii="Arial" w:hAnsi="Arial" w:cs="Arial"/>
          <w:lang w:eastAsia="en-US"/>
        </w:rPr>
      </w:pPr>
    </w:p>
    <w:p w:rsidR="00A76E9D" w:rsidRPr="003F4E62" w:rsidRDefault="00A76E9D" w:rsidP="00A76E9D">
      <w:pPr>
        <w:jc w:val="both"/>
        <w:rPr>
          <w:rFonts w:ascii="Arial" w:hAnsi="Arial" w:cs="Arial"/>
          <w:lang w:eastAsia="en-US"/>
        </w:rPr>
      </w:pPr>
    </w:p>
    <w:p w:rsidR="00A76E9D" w:rsidRPr="003F4E62" w:rsidRDefault="00A76E9D" w:rsidP="00A76E9D">
      <w:pPr>
        <w:jc w:val="both"/>
        <w:rPr>
          <w:rFonts w:ascii="Arial" w:hAnsi="Arial" w:cs="Arial"/>
          <w:u w:val="single"/>
          <w:lang w:eastAsia="en-US"/>
        </w:rPr>
      </w:pPr>
      <w:r w:rsidRPr="003F4E62">
        <w:rPr>
          <w:rFonts w:ascii="Arial" w:hAnsi="Arial" w:cs="Arial"/>
          <w:u w:val="single"/>
          <w:lang w:eastAsia="en-US"/>
        </w:rPr>
        <w:lastRenderedPageBreak/>
        <w:t>Current LCIV allocations</w:t>
      </w:r>
    </w:p>
    <w:p w:rsidR="00A76E9D" w:rsidRPr="003F4E62" w:rsidRDefault="00A76E9D" w:rsidP="00A76E9D">
      <w:pPr>
        <w:jc w:val="both"/>
        <w:rPr>
          <w:rFonts w:ascii="Arial" w:hAnsi="Arial" w:cs="Arial"/>
          <w:u w:val="single"/>
          <w:lang w:eastAsia="en-US"/>
        </w:rPr>
      </w:pPr>
    </w:p>
    <w:p w:rsidR="00A76E9D" w:rsidRPr="003F4E62" w:rsidRDefault="00A76E9D" w:rsidP="00A76E9D">
      <w:pPr>
        <w:jc w:val="both"/>
        <w:rPr>
          <w:rFonts w:ascii="Arial" w:hAnsi="Arial" w:cs="Arial"/>
          <w:lang w:eastAsia="en-US"/>
        </w:rPr>
      </w:pPr>
      <w:r w:rsidRPr="003F4E62">
        <w:rPr>
          <w:rFonts w:ascii="Arial" w:hAnsi="Arial" w:cs="Arial"/>
          <w:lang w:eastAsia="en-US"/>
        </w:rPr>
        <w:t xml:space="preserve">As at 31 December 2016 the Fund had nearly a third of its assets invested through the LCIV, including: </w:t>
      </w:r>
    </w:p>
    <w:p w:rsidR="00A76E9D" w:rsidRPr="003F4E62" w:rsidRDefault="00A76E9D" w:rsidP="00A76E9D">
      <w:pPr>
        <w:jc w:val="both"/>
        <w:rPr>
          <w:rFonts w:ascii="Arial" w:hAnsi="Arial" w:cs="Arial"/>
          <w:lang w:eastAsia="en-US"/>
        </w:rPr>
      </w:pPr>
    </w:p>
    <w:p w:rsidR="00A76E9D" w:rsidRPr="003F4E62" w:rsidRDefault="00A76E9D" w:rsidP="00A76E9D">
      <w:pPr>
        <w:pStyle w:val="ListParagraph"/>
        <w:numPr>
          <w:ilvl w:val="0"/>
          <w:numId w:val="23"/>
        </w:numPr>
        <w:jc w:val="both"/>
        <w:rPr>
          <w:rFonts w:ascii="Arial" w:hAnsi="Arial" w:cs="Arial"/>
          <w:sz w:val="24"/>
          <w:szCs w:val="24"/>
        </w:rPr>
      </w:pPr>
      <w:r w:rsidRPr="003F4E62">
        <w:rPr>
          <w:rFonts w:ascii="Arial" w:hAnsi="Arial" w:cs="Arial"/>
          <w:sz w:val="24"/>
          <w:szCs w:val="24"/>
        </w:rPr>
        <w:t xml:space="preserve">Two Diversified Growth Managers: Newton, Pyrford </w:t>
      </w:r>
    </w:p>
    <w:p w:rsidR="00A76E9D" w:rsidRPr="003F4E62" w:rsidRDefault="00A76E9D" w:rsidP="00A76E9D">
      <w:pPr>
        <w:pStyle w:val="ListParagraph"/>
        <w:numPr>
          <w:ilvl w:val="0"/>
          <w:numId w:val="23"/>
        </w:numPr>
        <w:jc w:val="both"/>
        <w:rPr>
          <w:rFonts w:ascii="Arial" w:hAnsi="Arial" w:cs="Arial"/>
          <w:sz w:val="24"/>
          <w:szCs w:val="24"/>
          <w:u w:val="single"/>
        </w:rPr>
      </w:pPr>
      <w:r w:rsidRPr="003F4E62">
        <w:rPr>
          <w:rFonts w:ascii="Arial" w:hAnsi="Arial" w:cs="Arial"/>
          <w:sz w:val="24"/>
          <w:szCs w:val="24"/>
        </w:rPr>
        <w:t>One active equity manager: Baillie Gifford.</w:t>
      </w:r>
    </w:p>
    <w:p w:rsidR="00A76E9D" w:rsidRPr="003F4E62" w:rsidRDefault="00A76E9D" w:rsidP="00A76E9D">
      <w:pPr>
        <w:jc w:val="both"/>
        <w:rPr>
          <w:rFonts w:ascii="Arial" w:hAnsi="Arial" w:cs="Arial"/>
          <w:u w:val="single"/>
          <w:lang w:eastAsia="en-US"/>
        </w:rPr>
      </w:pPr>
      <w:r w:rsidRPr="003F4E62">
        <w:rPr>
          <w:rFonts w:ascii="Arial" w:hAnsi="Arial" w:cs="Arial"/>
          <w:u w:val="single"/>
          <w:lang w:eastAsia="en-US"/>
        </w:rPr>
        <w:t>Passive Investments via L</w:t>
      </w:r>
      <w:r>
        <w:rPr>
          <w:rFonts w:ascii="Arial" w:hAnsi="Arial" w:cs="Arial"/>
          <w:u w:val="single"/>
          <w:lang w:eastAsia="en-US"/>
        </w:rPr>
        <w:t xml:space="preserve">ife </w:t>
      </w:r>
      <w:r w:rsidRPr="003F4E62">
        <w:rPr>
          <w:rFonts w:ascii="Arial" w:hAnsi="Arial" w:cs="Arial"/>
          <w:u w:val="single"/>
          <w:lang w:eastAsia="en-US"/>
        </w:rPr>
        <w:t>Funds</w:t>
      </w:r>
    </w:p>
    <w:p w:rsidR="00A76E9D" w:rsidRPr="003F4E62" w:rsidRDefault="00A76E9D" w:rsidP="00A76E9D">
      <w:pPr>
        <w:jc w:val="both"/>
        <w:rPr>
          <w:rFonts w:ascii="Arial" w:hAnsi="Arial" w:cs="Arial"/>
          <w:lang w:eastAsia="en-US"/>
        </w:rPr>
      </w:pPr>
    </w:p>
    <w:p w:rsidR="00A76E9D" w:rsidRPr="003F4E62" w:rsidRDefault="00A76E9D" w:rsidP="00A76E9D">
      <w:pPr>
        <w:jc w:val="both"/>
        <w:rPr>
          <w:rFonts w:ascii="Arial" w:hAnsi="Arial" w:cs="Arial"/>
          <w:lang w:eastAsia="en-US"/>
        </w:rPr>
      </w:pPr>
      <w:r w:rsidRPr="003F4E62">
        <w:rPr>
          <w:rFonts w:ascii="Arial" w:hAnsi="Arial" w:cs="Arial"/>
          <w:lang w:eastAsia="en-US"/>
        </w:rPr>
        <w:t xml:space="preserve">Approximately a fifth of the Fund’s investments are via </w:t>
      </w:r>
      <w:r>
        <w:rPr>
          <w:rFonts w:ascii="Arial" w:hAnsi="Arial" w:cs="Arial"/>
          <w:lang w:eastAsia="en-US"/>
        </w:rPr>
        <w:t>passively managed</w:t>
      </w:r>
      <w:r w:rsidRPr="003F4E62">
        <w:rPr>
          <w:rFonts w:ascii="Arial" w:hAnsi="Arial" w:cs="Arial"/>
          <w:lang w:eastAsia="en-US"/>
        </w:rPr>
        <w:t xml:space="preserve"> </w:t>
      </w:r>
      <w:r>
        <w:rPr>
          <w:rFonts w:ascii="Arial" w:hAnsi="Arial" w:cs="Arial"/>
          <w:lang w:eastAsia="en-US"/>
        </w:rPr>
        <w:t>Life</w:t>
      </w:r>
      <w:r w:rsidRPr="003F4E62">
        <w:rPr>
          <w:rFonts w:ascii="Arial" w:hAnsi="Arial" w:cs="Arial"/>
          <w:lang w:eastAsia="en-US"/>
        </w:rPr>
        <w:t xml:space="preserve"> Fund</w:t>
      </w:r>
      <w:r>
        <w:rPr>
          <w:rFonts w:ascii="Arial" w:hAnsi="Arial" w:cs="Arial"/>
          <w:lang w:eastAsia="en-US"/>
        </w:rPr>
        <w:t>s</w:t>
      </w:r>
      <w:r w:rsidRPr="003F4E62">
        <w:rPr>
          <w:rFonts w:ascii="Arial" w:hAnsi="Arial" w:cs="Arial"/>
          <w:lang w:eastAsia="en-US"/>
        </w:rPr>
        <w:t>. LIFE Funds are exempt from being included within the pooling arrangements. This allocation will be reviewed annually.</w:t>
      </w:r>
    </w:p>
    <w:p w:rsidR="00A76E9D" w:rsidRPr="003F4E62" w:rsidRDefault="00A76E9D" w:rsidP="00A76E9D">
      <w:pPr>
        <w:jc w:val="both"/>
        <w:rPr>
          <w:rFonts w:ascii="Arial" w:hAnsi="Arial" w:cs="Arial"/>
          <w:lang w:eastAsia="en-US"/>
        </w:rPr>
      </w:pPr>
    </w:p>
    <w:p w:rsidR="00A76E9D" w:rsidRPr="003F4E62" w:rsidRDefault="00A76E9D" w:rsidP="00A76E9D">
      <w:pPr>
        <w:jc w:val="both"/>
        <w:rPr>
          <w:rFonts w:ascii="Arial" w:hAnsi="Arial" w:cs="Arial"/>
          <w:u w:val="single"/>
          <w:lang w:eastAsia="en-US"/>
        </w:rPr>
      </w:pPr>
      <w:r w:rsidRPr="003F4E62">
        <w:rPr>
          <w:rFonts w:ascii="Arial" w:hAnsi="Arial" w:cs="Arial"/>
          <w:u w:val="single"/>
          <w:lang w:eastAsia="en-US"/>
        </w:rPr>
        <w:t>Current Partnerships</w:t>
      </w:r>
    </w:p>
    <w:p w:rsidR="00A76E9D" w:rsidRPr="003F4E62" w:rsidRDefault="00A76E9D" w:rsidP="00A76E9D">
      <w:pPr>
        <w:jc w:val="both"/>
        <w:rPr>
          <w:rFonts w:ascii="Arial" w:hAnsi="Arial" w:cs="Arial"/>
          <w:lang w:eastAsia="en-US"/>
        </w:rPr>
      </w:pPr>
    </w:p>
    <w:p w:rsidR="00A76E9D" w:rsidRPr="003F4E62" w:rsidRDefault="00A76E9D" w:rsidP="00A76E9D">
      <w:pPr>
        <w:jc w:val="both"/>
        <w:rPr>
          <w:rFonts w:ascii="Arial" w:hAnsi="Arial" w:cs="Arial"/>
        </w:rPr>
      </w:pPr>
      <w:r w:rsidRPr="003F4E62">
        <w:rPr>
          <w:rFonts w:ascii="Arial" w:hAnsi="Arial" w:cs="Arial"/>
          <w:lang w:eastAsia="en-US"/>
        </w:rPr>
        <w:t>The Fund is</w:t>
      </w:r>
      <w:r w:rsidRPr="003F4E62">
        <w:rPr>
          <w:rFonts w:ascii="Arial" w:hAnsi="Arial" w:cs="Arial"/>
        </w:rPr>
        <w:t xml:space="preserve"> invested in three separate partnerships including one in an alternatives investment with M&amp;G / Prudential and two with the Fund’s infrastructure manager Hermes GPE. The size of the M&amp;G / Prudential investment is a maximum of 1% of the Fund’s assets under management.</w:t>
      </w:r>
    </w:p>
    <w:p w:rsidR="00A76E9D" w:rsidRPr="003F4E62" w:rsidRDefault="00A76E9D" w:rsidP="00A76E9D">
      <w:pPr>
        <w:jc w:val="both"/>
        <w:rPr>
          <w:rFonts w:ascii="Arial" w:hAnsi="Arial" w:cs="Arial"/>
        </w:rPr>
      </w:pPr>
    </w:p>
    <w:p w:rsidR="00A76E9D" w:rsidRPr="003F4E62" w:rsidRDefault="00A76E9D" w:rsidP="00A76E9D">
      <w:pPr>
        <w:jc w:val="both"/>
        <w:rPr>
          <w:rFonts w:ascii="Arial" w:hAnsi="Arial" w:cs="Arial"/>
        </w:rPr>
      </w:pPr>
      <w:r w:rsidRPr="003F4E62">
        <w:rPr>
          <w:rFonts w:ascii="Arial" w:hAnsi="Arial" w:cs="Arial"/>
        </w:rPr>
        <w:t xml:space="preserve">The infrastructure investment is accessed via two partnerships, with a limit of 10%. The allocation was agreed by the pension panel on 19 June 2012 and subsequently increased to 10.0% at the 23 March 2015 Panel, with an investment period limited to 17 years. From 1 April 2017, the split allocation will be combined into one LLP. </w:t>
      </w:r>
    </w:p>
    <w:p w:rsidR="00A76E9D" w:rsidRPr="003F4E62" w:rsidRDefault="00A76E9D" w:rsidP="00A76E9D">
      <w:pPr>
        <w:jc w:val="both"/>
        <w:rPr>
          <w:rFonts w:ascii="Arial" w:hAnsi="Arial" w:cs="Arial"/>
        </w:rPr>
      </w:pPr>
    </w:p>
    <w:p w:rsidR="00A76E9D" w:rsidRPr="003F4E62" w:rsidRDefault="00A76E9D" w:rsidP="00A76E9D">
      <w:pPr>
        <w:jc w:val="both"/>
        <w:rPr>
          <w:rFonts w:ascii="Arial" w:hAnsi="Arial" w:cs="Arial"/>
        </w:rPr>
      </w:pPr>
      <w:r w:rsidRPr="003F4E62">
        <w:rPr>
          <w:rFonts w:ascii="Arial" w:hAnsi="Arial" w:cs="Arial"/>
        </w:rPr>
        <w:t>The Fund has a 10% allocation to LLPs and these investments will remain outside of the LCIV.</w:t>
      </w:r>
    </w:p>
    <w:p w:rsidR="00A76E9D" w:rsidRPr="003F4E62" w:rsidRDefault="00A76E9D" w:rsidP="00A76E9D">
      <w:pPr>
        <w:jc w:val="both"/>
        <w:rPr>
          <w:rFonts w:ascii="Arial" w:hAnsi="Arial" w:cs="Arial"/>
        </w:rPr>
      </w:pPr>
    </w:p>
    <w:p w:rsidR="00A76E9D" w:rsidRPr="003F4E62" w:rsidRDefault="00A76E9D" w:rsidP="00A76E9D">
      <w:pPr>
        <w:jc w:val="both"/>
        <w:rPr>
          <w:rFonts w:ascii="Arial" w:hAnsi="Arial" w:cs="Arial"/>
          <w:u w:val="single"/>
        </w:rPr>
      </w:pPr>
      <w:r w:rsidRPr="003F4E62">
        <w:rPr>
          <w:rFonts w:ascii="Arial" w:hAnsi="Arial" w:cs="Arial"/>
          <w:u w:val="single"/>
        </w:rPr>
        <w:t>Diversified Alternatives</w:t>
      </w:r>
    </w:p>
    <w:p w:rsidR="00A76E9D" w:rsidRPr="003F4E62" w:rsidRDefault="00A76E9D" w:rsidP="00A76E9D">
      <w:pPr>
        <w:jc w:val="both"/>
        <w:rPr>
          <w:rFonts w:ascii="Arial" w:hAnsi="Arial" w:cs="Arial"/>
        </w:rPr>
      </w:pPr>
    </w:p>
    <w:p w:rsidR="00A76E9D" w:rsidRPr="003F4E62" w:rsidRDefault="00A76E9D" w:rsidP="00A76E9D">
      <w:pPr>
        <w:jc w:val="both"/>
        <w:rPr>
          <w:rFonts w:ascii="Arial" w:hAnsi="Arial" w:cs="Arial"/>
        </w:rPr>
      </w:pPr>
      <w:r w:rsidRPr="003F4E62">
        <w:rPr>
          <w:rFonts w:ascii="Arial" w:hAnsi="Arial" w:cs="Arial"/>
        </w:rPr>
        <w:t>The Fund has a 7% investment in Diversified Alternatives, including Hedge Funds and Private Equity via Aberdeen Asset Management. These illiquid assets will not be moved to the LCIV until there is an adequate alternative provided by LCIV.</w:t>
      </w:r>
    </w:p>
    <w:p w:rsidR="00A76E9D" w:rsidRPr="003F4E62" w:rsidRDefault="00A76E9D" w:rsidP="00A76E9D">
      <w:pPr>
        <w:jc w:val="both"/>
        <w:rPr>
          <w:rFonts w:ascii="Arial" w:hAnsi="Arial" w:cs="Arial"/>
        </w:rPr>
      </w:pPr>
    </w:p>
    <w:p w:rsidR="00A76E9D" w:rsidRPr="003F4E62" w:rsidRDefault="00A76E9D" w:rsidP="00A76E9D">
      <w:pPr>
        <w:pStyle w:val="ListParagraph"/>
        <w:ind w:left="0"/>
        <w:jc w:val="both"/>
        <w:rPr>
          <w:rFonts w:ascii="Arial" w:hAnsi="Arial" w:cs="Arial"/>
          <w:sz w:val="24"/>
          <w:szCs w:val="24"/>
          <w:u w:val="single"/>
        </w:rPr>
      </w:pPr>
      <w:r w:rsidRPr="003F4E62">
        <w:rPr>
          <w:rFonts w:ascii="Arial" w:hAnsi="Arial" w:cs="Arial"/>
          <w:sz w:val="24"/>
          <w:szCs w:val="24"/>
          <w:u w:val="single"/>
        </w:rPr>
        <w:t>Credit, Property and Equity Income Strategy</w:t>
      </w:r>
    </w:p>
    <w:p w:rsidR="00A76E9D" w:rsidRPr="003F4E62" w:rsidRDefault="00A76E9D" w:rsidP="00A76E9D">
      <w:pPr>
        <w:pStyle w:val="ListParagraph"/>
        <w:ind w:left="0"/>
        <w:jc w:val="both"/>
        <w:rPr>
          <w:rFonts w:ascii="Arial" w:hAnsi="Arial" w:cs="Arial"/>
          <w:sz w:val="24"/>
          <w:szCs w:val="24"/>
        </w:rPr>
      </w:pPr>
    </w:p>
    <w:p w:rsidR="00A76E9D" w:rsidRPr="003F4E62" w:rsidRDefault="00A76E9D" w:rsidP="00A76E9D">
      <w:pPr>
        <w:pStyle w:val="ListParagraph"/>
        <w:ind w:left="0"/>
        <w:jc w:val="both"/>
        <w:rPr>
          <w:rFonts w:ascii="Arial" w:hAnsi="Arial" w:cs="Arial"/>
          <w:sz w:val="24"/>
          <w:szCs w:val="24"/>
        </w:rPr>
      </w:pPr>
      <w:r w:rsidRPr="003F4E62">
        <w:rPr>
          <w:rFonts w:ascii="Arial" w:hAnsi="Arial" w:cs="Arial"/>
          <w:sz w:val="24"/>
          <w:szCs w:val="24"/>
        </w:rPr>
        <w:t xml:space="preserve">The Fund has approximately 30% of its assets invested in credit, property, and an equity income strategy. There is the potential for these allocations to be moved to the LCIV and these holdings will be reviewed as and when suitable alternatives are provided by the LCIV. The review will consider the strategy, the assets held, the risks and the suitability of the strategy within the overall Fund prior to any investment agreement being made and proper advice will be sought from the Fund’s advisors. Where an alternative is suitable then transition arrangement will be arranged. </w:t>
      </w:r>
    </w:p>
    <w:p w:rsidR="00A76E9D" w:rsidRPr="003F4E62" w:rsidRDefault="00A76E9D" w:rsidP="00A76E9D">
      <w:pPr>
        <w:pStyle w:val="ListParagraph"/>
        <w:ind w:left="0"/>
        <w:jc w:val="both"/>
        <w:rPr>
          <w:rFonts w:ascii="Arial" w:hAnsi="Arial" w:cs="Arial"/>
          <w:sz w:val="24"/>
          <w:szCs w:val="24"/>
        </w:rPr>
      </w:pPr>
    </w:p>
    <w:p w:rsidR="00A76E9D" w:rsidRPr="003F4E62" w:rsidRDefault="00A76E9D" w:rsidP="00A76E9D">
      <w:pPr>
        <w:pStyle w:val="ListParagraph"/>
        <w:ind w:left="0"/>
        <w:jc w:val="both"/>
        <w:rPr>
          <w:rFonts w:ascii="Arial" w:hAnsi="Arial" w:cs="Arial"/>
          <w:sz w:val="24"/>
          <w:szCs w:val="24"/>
        </w:rPr>
      </w:pPr>
      <w:r w:rsidRPr="003F4E62">
        <w:rPr>
          <w:rFonts w:ascii="Arial" w:hAnsi="Arial" w:cs="Arial"/>
          <w:sz w:val="24"/>
          <w:szCs w:val="24"/>
        </w:rPr>
        <w:t xml:space="preserve">If the alternative strategy is not suitable then the current manager will remain. If there is a requirement for the Fund to move from the manager to the LCIV then an alternative solution will be to seek to access a suitable passive strategy through a LIFE Fund.  </w:t>
      </w:r>
    </w:p>
    <w:p w:rsidR="00A76E9D" w:rsidRPr="00DF6F04" w:rsidRDefault="00A76E9D" w:rsidP="00A76E9D">
      <w:pPr>
        <w:pStyle w:val="Heading2"/>
        <w:jc w:val="both"/>
        <w:rPr>
          <w:rFonts w:ascii="Arial" w:hAnsi="Arial" w:cs="Arial"/>
          <w:szCs w:val="24"/>
        </w:rPr>
      </w:pPr>
      <w:r w:rsidRPr="00DF6F04">
        <w:rPr>
          <w:rFonts w:ascii="Arial" w:hAnsi="Arial" w:cs="Arial"/>
          <w:szCs w:val="24"/>
        </w:rPr>
        <w:lastRenderedPageBreak/>
        <w:t xml:space="preserve">Funding Strategy Statement </w:t>
      </w:r>
    </w:p>
    <w:p w:rsidR="00A76E9D" w:rsidRPr="00DF6F04" w:rsidRDefault="00A76E9D" w:rsidP="00A76E9D"/>
    <w:p w:rsidR="00A76E9D" w:rsidRPr="00DF6F04" w:rsidRDefault="00A76E9D" w:rsidP="00A76E9D">
      <w:pPr>
        <w:pStyle w:val="BodyTextGrey"/>
        <w:spacing w:after="0" w:line="240" w:lineRule="auto"/>
        <w:jc w:val="both"/>
        <w:rPr>
          <w:color w:val="auto"/>
          <w:sz w:val="24"/>
          <w:szCs w:val="24"/>
        </w:rPr>
      </w:pPr>
      <w:r w:rsidRPr="00DF6F04">
        <w:rPr>
          <w:color w:val="auto"/>
          <w:sz w:val="24"/>
          <w:szCs w:val="24"/>
        </w:rPr>
        <w:t>There are close links between the</w:t>
      </w:r>
      <w:r>
        <w:rPr>
          <w:color w:val="auto"/>
          <w:sz w:val="24"/>
          <w:szCs w:val="24"/>
        </w:rPr>
        <w:t xml:space="preserve"> ISS </w:t>
      </w:r>
      <w:r w:rsidRPr="00DF6F04">
        <w:rPr>
          <w:color w:val="auto"/>
          <w:sz w:val="24"/>
          <w:szCs w:val="24"/>
        </w:rPr>
        <w:t xml:space="preserve">and the Funding Strategy Statement, which sets out the Fund’s approach to funding its pension liabilities and the resulting impact on employer contribution rates. The Funding Strategy Statement is available on the Fund’s website: </w:t>
      </w:r>
      <w:hyperlink r:id="rId13" w:history="1">
        <w:r w:rsidRPr="00DF6F04">
          <w:rPr>
            <w:rStyle w:val="Hyperlink"/>
            <w:rFonts w:eastAsiaTheme="majorEastAsia"/>
            <w:sz w:val="24"/>
            <w:szCs w:val="24"/>
          </w:rPr>
          <w:t>www.lbbdpensionfund.org</w:t>
        </w:r>
      </w:hyperlink>
    </w:p>
    <w:p w:rsidR="00A76E9D" w:rsidRPr="00DF6F04" w:rsidRDefault="00A76E9D" w:rsidP="00A76E9D">
      <w:pPr>
        <w:pStyle w:val="BodyTextGrey"/>
        <w:spacing w:after="0" w:line="240" w:lineRule="auto"/>
        <w:jc w:val="both"/>
        <w:rPr>
          <w:color w:val="auto"/>
          <w:sz w:val="24"/>
          <w:szCs w:val="24"/>
        </w:rPr>
      </w:pPr>
    </w:p>
    <w:p w:rsidR="00A76E9D" w:rsidRPr="00DF6F04" w:rsidRDefault="00A76E9D" w:rsidP="00A76E9D">
      <w:pPr>
        <w:pStyle w:val="Heading2"/>
        <w:jc w:val="both"/>
        <w:rPr>
          <w:rFonts w:ascii="Arial" w:hAnsi="Arial" w:cs="Arial"/>
          <w:szCs w:val="24"/>
        </w:rPr>
      </w:pPr>
      <w:r w:rsidRPr="00DF6F04">
        <w:rPr>
          <w:rFonts w:ascii="Arial" w:hAnsi="Arial" w:cs="Arial"/>
          <w:szCs w:val="24"/>
        </w:rPr>
        <w:t>Types of investment to be held</w:t>
      </w:r>
    </w:p>
    <w:p w:rsidR="00A76E9D" w:rsidRPr="00DF6F04" w:rsidRDefault="00A76E9D" w:rsidP="00A76E9D"/>
    <w:p w:rsidR="00A76E9D" w:rsidRPr="00DF6F04" w:rsidRDefault="00A76E9D" w:rsidP="00A76E9D">
      <w:pPr>
        <w:pStyle w:val="BodyTextGrey"/>
        <w:spacing w:after="0" w:line="240" w:lineRule="auto"/>
        <w:jc w:val="both"/>
        <w:rPr>
          <w:color w:val="auto"/>
          <w:sz w:val="24"/>
          <w:szCs w:val="24"/>
        </w:rPr>
      </w:pPr>
      <w:r w:rsidRPr="00DF6F04">
        <w:rPr>
          <w:color w:val="auto"/>
          <w:sz w:val="24"/>
          <w:szCs w:val="24"/>
        </w:rPr>
        <w:t xml:space="preserve">The Fund may invest in quoted and unquoted securities of UK and overseas markets, including equities, fixed and index linked bonds, cash, property and commodities, infrastructure and diversified alternatives, either directly or through pooled funds. </w:t>
      </w:r>
    </w:p>
    <w:p w:rsidR="00A76E9D" w:rsidRPr="00DF6F04" w:rsidRDefault="00A76E9D" w:rsidP="00A76E9D">
      <w:pPr>
        <w:pStyle w:val="BodyTextGrey"/>
        <w:spacing w:after="0" w:line="240" w:lineRule="auto"/>
        <w:jc w:val="both"/>
        <w:rPr>
          <w:b/>
          <w:color w:val="auto"/>
          <w:sz w:val="24"/>
          <w:szCs w:val="24"/>
        </w:rPr>
      </w:pPr>
    </w:p>
    <w:p w:rsidR="00A76E9D" w:rsidRPr="00DF6F04" w:rsidRDefault="00A76E9D" w:rsidP="00A76E9D">
      <w:pPr>
        <w:pStyle w:val="BodyTextGrey"/>
        <w:spacing w:after="0" w:line="240" w:lineRule="auto"/>
        <w:jc w:val="both"/>
        <w:rPr>
          <w:color w:val="auto"/>
          <w:sz w:val="24"/>
          <w:szCs w:val="24"/>
        </w:rPr>
      </w:pPr>
      <w:r w:rsidRPr="00DF6F04">
        <w:rPr>
          <w:color w:val="auto"/>
          <w:sz w:val="24"/>
          <w:szCs w:val="24"/>
        </w:rPr>
        <w:t>The Fund may also make use of contracts for differences and other derivatives either directly or in pooled funds investing in these products, for the purpose of efficient portfolio management or to hedge specific risks. The Panel considers all of these classes of investment to be suitable in the circumstances of the Fund.</w:t>
      </w:r>
    </w:p>
    <w:p w:rsidR="00A76E9D" w:rsidRPr="00DF6F04" w:rsidRDefault="00A76E9D" w:rsidP="00A76E9D">
      <w:pPr>
        <w:pStyle w:val="BodyTextGrey"/>
        <w:spacing w:after="0" w:line="240" w:lineRule="auto"/>
        <w:jc w:val="both"/>
        <w:rPr>
          <w:color w:val="auto"/>
          <w:sz w:val="24"/>
          <w:szCs w:val="24"/>
        </w:rPr>
      </w:pPr>
    </w:p>
    <w:p w:rsidR="00A76E9D" w:rsidRPr="00DF6F04" w:rsidRDefault="00A76E9D" w:rsidP="00A76E9D">
      <w:pPr>
        <w:pStyle w:val="BodyTextGrey"/>
        <w:spacing w:after="0" w:line="240" w:lineRule="auto"/>
        <w:jc w:val="both"/>
        <w:rPr>
          <w:color w:val="auto"/>
          <w:sz w:val="24"/>
          <w:szCs w:val="24"/>
        </w:rPr>
      </w:pPr>
      <w:r w:rsidRPr="00DF6F04">
        <w:rPr>
          <w:color w:val="auto"/>
          <w:sz w:val="24"/>
          <w:szCs w:val="24"/>
        </w:rPr>
        <w:t>The strategic asset allocation of the Fund includes a mix of asset types across a range of geographies in order to provide diversification of returns.</w:t>
      </w:r>
    </w:p>
    <w:p w:rsidR="00A76E9D" w:rsidRPr="00DF6F04" w:rsidRDefault="00A76E9D" w:rsidP="00A76E9D">
      <w:pPr>
        <w:pStyle w:val="BodyTextGrey"/>
        <w:spacing w:after="0" w:line="240" w:lineRule="auto"/>
        <w:jc w:val="both"/>
        <w:rPr>
          <w:i/>
          <w:color w:val="auto"/>
          <w:sz w:val="24"/>
          <w:szCs w:val="24"/>
        </w:rPr>
      </w:pPr>
    </w:p>
    <w:p w:rsidR="00A76E9D" w:rsidRPr="003F4E62" w:rsidRDefault="00A76E9D" w:rsidP="00A76E9D">
      <w:pPr>
        <w:pStyle w:val="Heading2"/>
        <w:jc w:val="both"/>
        <w:rPr>
          <w:rFonts w:ascii="Arial" w:hAnsi="Arial" w:cs="Arial"/>
          <w:szCs w:val="24"/>
        </w:rPr>
      </w:pPr>
      <w:r w:rsidRPr="003F4E62">
        <w:rPr>
          <w:rFonts w:ascii="Arial" w:hAnsi="Arial" w:cs="Arial"/>
          <w:bCs/>
          <w:szCs w:val="24"/>
        </w:rPr>
        <w:t>Statutory Investment Limits</w:t>
      </w:r>
    </w:p>
    <w:p w:rsidR="00A76E9D" w:rsidRPr="003F4E62" w:rsidRDefault="00A76E9D" w:rsidP="00A76E9D">
      <w:pPr>
        <w:autoSpaceDE w:val="0"/>
        <w:autoSpaceDN w:val="0"/>
        <w:adjustRightInd w:val="0"/>
        <w:rPr>
          <w:rFonts w:ascii="Verdana" w:hAnsi="Verdana" w:cs="Verdana"/>
        </w:rPr>
      </w:pPr>
    </w:p>
    <w:p w:rsidR="00A76E9D" w:rsidRPr="003F4E62" w:rsidRDefault="00A76E9D" w:rsidP="00A76E9D">
      <w:pPr>
        <w:autoSpaceDE w:val="0"/>
        <w:autoSpaceDN w:val="0"/>
        <w:adjustRightInd w:val="0"/>
        <w:jc w:val="both"/>
        <w:rPr>
          <w:rFonts w:ascii="Arial" w:hAnsi="Arial" w:cs="Arial"/>
        </w:rPr>
      </w:pPr>
      <w:r w:rsidRPr="003F4E62">
        <w:rPr>
          <w:rFonts w:ascii="Arial" w:hAnsi="Arial" w:cs="Arial"/>
        </w:rPr>
        <w:t>Statutory maximum limits, as previously outlined in schedule 1 of the LGPS (Management and Investment of Funds) Regulations 2009 are no longer applicable. Instead this Fund will make asset allocation decisions based on a prudential approach to securing a diversified investment strategy.</w:t>
      </w:r>
    </w:p>
    <w:p w:rsidR="00A76E9D" w:rsidRPr="003F4E62" w:rsidRDefault="00A76E9D" w:rsidP="00A76E9D">
      <w:pPr>
        <w:autoSpaceDE w:val="0"/>
        <w:autoSpaceDN w:val="0"/>
        <w:adjustRightInd w:val="0"/>
        <w:jc w:val="both"/>
        <w:rPr>
          <w:rFonts w:ascii="Arial" w:hAnsi="Arial" w:cs="Arial"/>
        </w:rPr>
      </w:pPr>
    </w:p>
    <w:p w:rsidR="00A76E9D" w:rsidRPr="003F4E62" w:rsidRDefault="00A76E9D" w:rsidP="00A76E9D">
      <w:pPr>
        <w:autoSpaceDE w:val="0"/>
        <w:autoSpaceDN w:val="0"/>
        <w:adjustRightInd w:val="0"/>
        <w:jc w:val="both"/>
        <w:rPr>
          <w:rFonts w:ascii="Arial" w:hAnsi="Arial" w:cs="Arial"/>
        </w:rPr>
      </w:pPr>
      <w:r w:rsidRPr="003F4E62">
        <w:rPr>
          <w:rFonts w:ascii="Arial" w:hAnsi="Arial" w:cs="Arial"/>
        </w:rPr>
        <w:t>The maximum percentage of the Fund’s total value that the Fund will invest in each asset class is provided below and is subject to an annual review:</w:t>
      </w:r>
    </w:p>
    <w:p w:rsidR="00A76E9D" w:rsidRPr="003F4E62" w:rsidRDefault="00A76E9D" w:rsidP="00A76E9D">
      <w:pPr>
        <w:autoSpaceDE w:val="0"/>
        <w:autoSpaceDN w:val="0"/>
        <w:adjustRightInd w:val="0"/>
        <w:jc w:val="both"/>
        <w:rPr>
          <w:rFonts w:ascii="Arial" w:hAnsi="Arial" w:cs="Arial"/>
        </w:rPr>
      </w:pPr>
    </w:p>
    <w:p w:rsidR="00A76E9D" w:rsidRPr="003F4E62" w:rsidRDefault="00A76E9D" w:rsidP="00A76E9D">
      <w:pPr>
        <w:autoSpaceDE w:val="0"/>
        <w:autoSpaceDN w:val="0"/>
        <w:adjustRightInd w:val="0"/>
        <w:jc w:val="both"/>
        <w:rPr>
          <w:rFonts w:ascii="Arial" w:hAnsi="Arial" w:cs="Arial"/>
        </w:rPr>
      </w:pPr>
      <w:r w:rsidRPr="003F4E62">
        <w:rPr>
          <w:rFonts w:ascii="Arial" w:hAnsi="Arial" w:cs="Arial"/>
        </w:rPr>
        <w:t>Equities</w:t>
      </w:r>
      <w:r w:rsidRPr="003F4E62">
        <w:rPr>
          <w:rFonts w:ascii="Arial" w:hAnsi="Arial" w:cs="Arial"/>
        </w:rPr>
        <w:tab/>
      </w:r>
      <w:r w:rsidRPr="003F4E62">
        <w:rPr>
          <w:rFonts w:ascii="Arial" w:hAnsi="Arial" w:cs="Arial"/>
        </w:rPr>
        <w:tab/>
      </w:r>
      <w:r w:rsidRPr="003F4E62">
        <w:rPr>
          <w:rFonts w:ascii="Arial" w:hAnsi="Arial" w:cs="Arial"/>
        </w:rPr>
        <w:tab/>
        <w:t>55%</w:t>
      </w:r>
      <w:r>
        <w:rPr>
          <w:rFonts w:ascii="Arial" w:hAnsi="Arial" w:cs="Arial"/>
        </w:rPr>
        <w:tab/>
      </w:r>
      <w:r>
        <w:rPr>
          <w:rFonts w:ascii="Arial" w:hAnsi="Arial" w:cs="Arial"/>
        </w:rPr>
        <w:tab/>
      </w:r>
      <w:r w:rsidRPr="003F4E62">
        <w:rPr>
          <w:rFonts w:ascii="Arial" w:hAnsi="Arial" w:cs="Arial"/>
        </w:rPr>
        <w:t>Bonds</w:t>
      </w:r>
      <w:r w:rsidRPr="003F4E62">
        <w:rPr>
          <w:rFonts w:ascii="Arial" w:hAnsi="Arial" w:cs="Arial"/>
        </w:rPr>
        <w:tab/>
      </w:r>
      <w:r w:rsidRPr="003F4E62">
        <w:rPr>
          <w:rFonts w:ascii="Arial" w:hAnsi="Arial" w:cs="Arial"/>
        </w:rPr>
        <w:tab/>
      </w:r>
      <w:r w:rsidRPr="003F4E62">
        <w:rPr>
          <w:rFonts w:ascii="Arial" w:hAnsi="Arial" w:cs="Arial"/>
        </w:rPr>
        <w:tab/>
      </w:r>
      <w:r w:rsidRPr="003F4E62">
        <w:rPr>
          <w:rFonts w:ascii="Arial" w:hAnsi="Arial" w:cs="Arial"/>
        </w:rPr>
        <w:tab/>
        <w:t>25%</w:t>
      </w:r>
    </w:p>
    <w:p w:rsidR="00A76E9D" w:rsidRPr="003F4E62" w:rsidRDefault="00A76E9D" w:rsidP="00A76E9D">
      <w:pPr>
        <w:autoSpaceDE w:val="0"/>
        <w:autoSpaceDN w:val="0"/>
        <w:adjustRightInd w:val="0"/>
        <w:jc w:val="both"/>
        <w:rPr>
          <w:rFonts w:ascii="Arial" w:hAnsi="Arial" w:cs="Arial"/>
        </w:rPr>
      </w:pPr>
      <w:r w:rsidRPr="003F4E62">
        <w:rPr>
          <w:rFonts w:ascii="Arial" w:hAnsi="Arial" w:cs="Arial"/>
        </w:rPr>
        <w:t>Absolute Return</w:t>
      </w:r>
      <w:r w:rsidRPr="003F4E62">
        <w:rPr>
          <w:rFonts w:ascii="Arial" w:hAnsi="Arial" w:cs="Arial"/>
        </w:rPr>
        <w:tab/>
      </w:r>
      <w:r w:rsidRPr="003F4E62">
        <w:rPr>
          <w:rFonts w:ascii="Arial" w:hAnsi="Arial" w:cs="Arial"/>
        </w:rPr>
        <w:tab/>
        <w:t>30%</w:t>
      </w:r>
      <w:r>
        <w:rPr>
          <w:rFonts w:ascii="Arial" w:hAnsi="Arial" w:cs="Arial"/>
        </w:rPr>
        <w:tab/>
      </w:r>
      <w:r>
        <w:rPr>
          <w:rFonts w:ascii="Arial" w:hAnsi="Arial" w:cs="Arial"/>
        </w:rPr>
        <w:tab/>
      </w:r>
      <w:r w:rsidRPr="003F4E62">
        <w:rPr>
          <w:rFonts w:ascii="Arial" w:hAnsi="Arial" w:cs="Arial"/>
        </w:rPr>
        <w:t>Property</w:t>
      </w:r>
      <w:r w:rsidRPr="003F4E62">
        <w:rPr>
          <w:rFonts w:ascii="Arial" w:hAnsi="Arial" w:cs="Arial"/>
        </w:rPr>
        <w:tab/>
      </w:r>
      <w:r w:rsidRPr="003F4E62">
        <w:rPr>
          <w:rFonts w:ascii="Arial" w:hAnsi="Arial" w:cs="Arial"/>
        </w:rPr>
        <w:tab/>
      </w:r>
      <w:r w:rsidRPr="003F4E62">
        <w:rPr>
          <w:rFonts w:ascii="Arial" w:hAnsi="Arial" w:cs="Arial"/>
        </w:rPr>
        <w:tab/>
        <w:t>20%</w:t>
      </w:r>
    </w:p>
    <w:p w:rsidR="00A76E9D" w:rsidRDefault="00A76E9D" w:rsidP="00A76E9D">
      <w:pPr>
        <w:autoSpaceDE w:val="0"/>
        <w:autoSpaceDN w:val="0"/>
        <w:adjustRightInd w:val="0"/>
        <w:jc w:val="both"/>
        <w:rPr>
          <w:rFonts w:ascii="Arial" w:hAnsi="Arial" w:cs="Arial"/>
        </w:rPr>
      </w:pPr>
      <w:r>
        <w:rPr>
          <w:rFonts w:ascii="Arial" w:hAnsi="Arial" w:cs="Arial"/>
        </w:rPr>
        <w:t>Infrastructure</w:t>
      </w:r>
      <w:r>
        <w:rPr>
          <w:rFonts w:ascii="Arial" w:hAnsi="Arial" w:cs="Arial"/>
        </w:rPr>
        <w:tab/>
      </w:r>
      <w:r>
        <w:rPr>
          <w:rFonts w:ascii="Arial" w:hAnsi="Arial" w:cs="Arial"/>
        </w:rPr>
        <w:tab/>
      </w:r>
      <w:r>
        <w:rPr>
          <w:rFonts w:ascii="Arial" w:hAnsi="Arial" w:cs="Arial"/>
        </w:rPr>
        <w:tab/>
        <w:t>20%</w:t>
      </w:r>
      <w:r>
        <w:rPr>
          <w:rFonts w:ascii="Arial" w:hAnsi="Arial" w:cs="Arial"/>
        </w:rPr>
        <w:tab/>
      </w:r>
      <w:r>
        <w:rPr>
          <w:rFonts w:ascii="Arial" w:hAnsi="Arial" w:cs="Arial"/>
        </w:rPr>
        <w:tab/>
        <w:t>Diversified Alternatives</w:t>
      </w:r>
      <w:r>
        <w:rPr>
          <w:rFonts w:ascii="Arial" w:hAnsi="Arial" w:cs="Arial"/>
        </w:rPr>
        <w:tab/>
        <w:t>20%</w:t>
      </w:r>
    </w:p>
    <w:p w:rsidR="00A76E9D" w:rsidRPr="00DF6F04" w:rsidRDefault="00A76E9D" w:rsidP="00A76E9D">
      <w:pPr>
        <w:jc w:val="both"/>
        <w:rPr>
          <w:rFonts w:ascii="Arial" w:hAnsi="Arial" w:cs="Arial"/>
        </w:rPr>
      </w:pPr>
    </w:p>
    <w:p w:rsidR="00A76E9D" w:rsidRPr="00DF6F04" w:rsidRDefault="00A76E9D" w:rsidP="00A76E9D">
      <w:pPr>
        <w:pStyle w:val="Heading2"/>
        <w:jc w:val="both"/>
        <w:rPr>
          <w:rFonts w:ascii="Arial" w:hAnsi="Arial" w:cs="Arial"/>
          <w:szCs w:val="24"/>
        </w:rPr>
      </w:pPr>
      <w:r w:rsidRPr="00DF6F04">
        <w:rPr>
          <w:rFonts w:ascii="Arial" w:hAnsi="Arial" w:cs="Arial"/>
          <w:szCs w:val="24"/>
        </w:rPr>
        <w:t>Balance between various kinds of investments</w:t>
      </w:r>
    </w:p>
    <w:p w:rsidR="00A76E9D" w:rsidRPr="00DF6F04" w:rsidRDefault="00A76E9D" w:rsidP="00A76E9D"/>
    <w:p w:rsidR="00A76E9D" w:rsidRPr="00DF6F04" w:rsidRDefault="00A76E9D" w:rsidP="00A76E9D">
      <w:pPr>
        <w:pStyle w:val="BodyTextGrey"/>
        <w:spacing w:after="0" w:line="240" w:lineRule="auto"/>
        <w:jc w:val="both"/>
        <w:rPr>
          <w:color w:val="auto"/>
          <w:sz w:val="24"/>
          <w:szCs w:val="24"/>
        </w:rPr>
      </w:pPr>
      <w:r w:rsidRPr="00DF6F04">
        <w:rPr>
          <w:color w:val="auto"/>
          <w:sz w:val="24"/>
          <w:szCs w:val="24"/>
        </w:rPr>
        <w:t xml:space="preserve">The Panel has appointed a number of investment managers all of whom are authorised under the Financial Services and Markets Act 2000 to undertake investment business.  </w:t>
      </w:r>
    </w:p>
    <w:p w:rsidR="00A76E9D" w:rsidRPr="00DF6F04" w:rsidRDefault="00A76E9D" w:rsidP="00A76E9D">
      <w:pPr>
        <w:pStyle w:val="BodyTextGrey"/>
        <w:spacing w:after="0" w:line="240" w:lineRule="auto"/>
        <w:jc w:val="both"/>
        <w:rPr>
          <w:b/>
          <w:color w:val="auto"/>
          <w:sz w:val="24"/>
          <w:szCs w:val="24"/>
        </w:rPr>
      </w:pPr>
    </w:p>
    <w:p w:rsidR="00A76E9D" w:rsidRDefault="00A76E9D" w:rsidP="00A76E9D">
      <w:pPr>
        <w:pStyle w:val="BodyTextGrey"/>
        <w:spacing w:after="0" w:line="240" w:lineRule="auto"/>
        <w:jc w:val="both"/>
        <w:rPr>
          <w:color w:val="auto"/>
          <w:sz w:val="24"/>
          <w:szCs w:val="24"/>
        </w:rPr>
      </w:pPr>
      <w:r w:rsidRPr="00DF6F04">
        <w:rPr>
          <w:color w:val="auto"/>
          <w:sz w:val="24"/>
          <w:szCs w:val="24"/>
        </w:rPr>
        <w:t xml:space="preserve">The Panel, after seeking </w:t>
      </w:r>
      <w:r>
        <w:rPr>
          <w:color w:val="auto"/>
          <w:sz w:val="24"/>
          <w:szCs w:val="24"/>
        </w:rPr>
        <w:t>proper</w:t>
      </w:r>
      <w:r w:rsidRPr="00DF6F04">
        <w:rPr>
          <w:color w:val="auto"/>
          <w:sz w:val="24"/>
          <w:szCs w:val="24"/>
        </w:rPr>
        <w:t xml:space="preserve"> advice, agreed specific benchmarks </w:t>
      </w:r>
      <w:r>
        <w:rPr>
          <w:color w:val="auto"/>
          <w:sz w:val="24"/>
          <w:szCs w:val="24"/>
        </w:rPr>
        <w:t xml:space="preserve">for </w:t>
      </w:r>
      <w:r w:rsidRPr="00DF6F04">
        <w:rPr>
          <w:color w:val="auto"/>
          <w:sz w:val="24"/>
          <w:szCs w:val="24"/>
        </w:rPr>
        <w:t xml:space="preserve">each manager so that, in aggregate, they are consistent with the </w:t>
      </w:r>
      <w:r>
        <w:rPr>
          <w:color w:val="auto"/>
          <w:sz w:val="24"/>
          <w:szCs w:val="24"/>
        </w:rPr>
        <w:t xml:space="preserve">Fund’s </w:t>
      </w:r>
      <w:r w:rsidRPr="00DF6F04">
        <w:rPr>
          <w:color w:val="auto"/>
          <w:sz w:val="24"/>
          <w:szCs w:val="24"/>
        </w:rPr>
        <w:t xml:space="preserve">asset allocation. The Fund’s investment managers hold a mix of investments which reflects their views relative to their respective benchmarks. Within each major market and asset class, the managers maintain diversified portfolios through direct investment or pooled vehicles.  </w:t>
      </w:r>
    </w:p>
    <w:p w:rsidR="00A76E9D" w:rsidRDefault="00A76E9D" w:rsidP="00A76E9D">
      <w:pPr>
        <w:pStyle w:val="BodyTextGrey"/>
        <w:spacing w:after="0" w:line="240" w:lineRule="auto"/>
        <w:jc w:val="both"/>
        <w:rPr>
          <w:color w:val="auto"/>
          <w:sz w:val="24"/>
          <w:szCs w:val="24"/>
        </w:rPr>
      </w:pPr>
    </w:p>
    <w:p w:rsidR="00A76E9D" w:rsidRPr="007D7C9B" w:rsidRDefault="00A76E9D" w:rsidP="00A76E9D">
      <w:pPr>
        <w:pStyle w:val="BodyTextGrey"/>
        <w:spacing w:after="0" w:line="240" w:lineRule="auto"/>
        <w:jc w:val="both"/>
        <w:rPr>
          <w:color w:val="auto"/>
          <w:sz w:val="24"/>
          <w:szCs w:val="24"/>
        </w:rPr>
      </w:pPr>
      <w:r w:rsidRPr="007D7C9B">
        <w:rPr>
          <w:color w:val="auto"/>
          <w:sz w:val="24"/>
          <w:szCs w:val="24"/>
        </w:rPr>
        <w:t xml:space="preserve">In March 2017 an Asset Liability Review (ALR) was completed by Aon, with a training session held on 13 March 2017. Following the ALR a review of the strategy will be completed and the ISS updated to reflect any agreed changes. </w:t>
      </w:r>
    </w:p>
    <w:p w:rsidR="00A76E9D" w:rsidRPr="007D7C9B" w:rsidRDefault="00A76E9D" w:rsidP="00A76E9D">
      <w:pPr>
        <w:pStyle w:val="Heading2"/>
        <w:jc w:val="both"/>
        <w:rPr>
          <w:rFonts w:ascii="Arial" w:hAnsi="Arial" w:cs="Arial"/>
          <w:szCs w:val="24"/>
        </w:rPr>
      </w:pPr>
      <w:r w:rsidRPr="007D7C9B">
        <w:rPr>
          <w:rFonts w:ascii="Arial" w:hAnsi="Arial" w:cs="Arial"/>
          <w:szCs w:val="24"/>
        </w:rPr>
        <w:lastRenderedPageBreak/>
        <w:t>Derisking Strategy</w:t>
      </w:r>
    </w:p>
    <w:p w:rsidR="00A76E9D" w:rsidRDefault="00A76E9D" w:rsidP="00A76E9D">
      <w:pPr>
        <w:rPr>
          <w:rFonts w:ascii="Arial" w:hAnsi="Arial" w:cs="Arial"/>
          <w:lang w:eastAsia="en-US"/>
        </w:rPr>
      </w:pPr>
    </w:p>
    <w:p w:rsidR="00A76E9D" w:rsidRDefault="00A76E9D" w:rsidP="00A76E9D">
      <w:pPr>
        <w:jc w:val="both"/>
        <w:rPr>
          <w:rFonts w:ascii="Arial" w:hAnsi="Arial" w:cs="Arial"/>
          <w:lang w:eastAsia="en-US"/>
        </w:rPr>
      </w:pPr>
      <w:r>
        <w:rPr>
          <w:rFonts w:ascii="Arial" w:hAnsi="Arial" w:cs="Arial"/>
          <w:lang w:eastAsia="en-US"/>
        </w:rPr>
        <w:t>At the June 2017 Pension Panel Members agreed to a revised derisking strategy (see appendix C). The derisking strategy is implemented when the Fund’s funding level reaches a number of levels.</w:t>
      </w:r>
    </w:p>
    <w:p w:rsidR="00A76E9D" w:rsidRDefault="00A76E9D" w:rsidP="00A76E9D">
      <w:pPr>
        <w:ind w:left="360"/>
        <w:jc w:val="both"/>
        <w:rPr>
          <w:rFonts w:ascii="Arial" w:hAnsi="Arial" w:cs="Arial"/>
          <w:lang w:eastAsia="en-US"/>
        </w:rPr>
      </w:pPr>
    </w:p>
    <w:p w:rsidR="00A76E9D" w:rsidRDefault="00A76E9D" w:rsidP="00A76E9D">
      <w:pPr>
        <w:jc w:val="both"/>
        <w:rPr>
          <w:rFonts w:ascii="Arial" w:hAnsi="Arial" w:cs="Arial"/>
          <w:lang w:eastAsia="en-US"/>
        </w:rPr>
      </w:pPr>
      <w:r>
        <w:rPr>
          <w:rFonts w:ascii="Arial" w:hAnsi="Arial" w:cs="Arial"/>
          <w:lang w:eastAsia="en-US"/>
        </w:rPr>
        <w:t>The derisking strategy considers the need to derisk through investing in inflation linked assets, but also through derisking away from fund manager risk and also derisking through investing in less risky assets with the various asset classes.</w:t>
      </w:r>
    </w:p>
    <w:p w:rsidR="00A76E9D" w:rsidRPr="007D7C9B" w:rsidRDefault="00A76E9D" w:rsidP="00A76E9D">
      <w:pPr>
        <w:ind w:left="360"/>
        <w:rPr>
          <w:lang w:eastAsia="en-US"/>
        </w:rPr>
      </w:pPr>
    </w:p>
    <w:p w:rsidR="00A76E9D" w:rsidRPr="00DF6F04" w:rsidRDefault="00A76E9D" w:rsidP="00A76E9D">
      <w:pPr>
        <w:pStyle w:val="Heading2"/>
        <w:jc w:val="both"/>
        <w:rPr>
          <w:rFonts w:ascii="Arial" w:hAnsi="Arial" w:cs="Arial"/>
          <w:szCs w:val="24"/>
        </w:rPr>
      </w:pPr>
      <w:r w:rsidRPr="00DF6F04">
        <w:rPr>
          <w:rFonts w:ascii="Arial" w:hAnsi="Arial" w:cs="Arial"/>
          <w:szCs w:val="24"/>
        </w:rPr>
        <w:t>Risk</w:t>
      </w:r>
    </w:p>
    <w:p w:rsidR="00A76E9D" w:rsidRPr="00DF6F04" w:rsidRDefault="00A76E9D" w:rsidP="00A76E9D"/>
    <w:p w:rsidR="00A76E9D" w:rsidRPr="00DF6F04" w:rsidRDefault="00A76E9D" w:rsidP="00A76E9D">
      <w:pPr>
        <w:pStyle w:val="BodyTextGrey"/>
        <w:spacing w:after="0" w:line="240" w:lineRule="auto"/>
        <w:jc w:val="both"/>
        <w:rPr>
          <w:color w:val="auto"/>
          <w:sz w:val="24"/>
          <w:szCs w:val="24"/>
        </w:rPr>
      </w:pPr>
      <w:r w:rsidRPr="00DF6F04">
        <w:rPr>
          <w:color w:val="auto"/>
          <w:sz w:val="24"/>
          <w:szCs w:val="24"/>
        </w:rPr>
        <w:t>The Fund is exposed to a number of risks which pose a threat to the Fund meeting its objectives.  The principal risks affecting the Fund are:</w:t>
      </w:r>
    </w:p>
    <w:p w:rsidR="00A76E9D" w:rsidRPr="00355A28" w:rsidRDefault="00A76E9D" w:rsidP="00A76E9D">
      <w:pPr>
        <w:pStyle w:val="BodyTextGrey"/>
        <w:spacing w:after="0" w:line="240" w:lineRule="auto"/>
        <w:jc w:val="both"/>
        <w:rPr>
          <w:b/>
          <w:color w:val="C00000"/>
          <w:sz w:val="24"/>
          <w:szCs w:val="24"/>
        </w:rPr>
      </w:pPr>
    </w:p>
    <w:p w:rsidR="00A76E9D" w:rsidRPr="00355A28" w:rsidRDefault="00A76E9D" w:rsidP="00A76E9D">
      <w:pPr>
        <w:pStyle w:val="Heading4"/>
        <w:spacing w:before="0" w:line="240" w:lineRule="auto"/>
        <w:jc w:val="both"/>
        <w:rPr>
          <w:rFonts w:ascii="Arial" w:hAnsi="Arial" w:cs="Arial"/>
          <w:i w:val="0"/>
          <w:color w:val="C00000"/>
          <w:sz w:val="24"/>
          <w:szCs w:val="24"/>
        </w:rPr>
      </w:pPr>
      <w:r w:rsidRPr="00355A28">
        <w:rPr>
          <w:rFonts w:ascii="Arial" w:hAnsi="Arial" w:cs="Arial"/>
          <w:i w:val="0"/>
          <w:color w:val="C00000"/>
          <w:sz w:val="24"/>
          <w:szCs w:val="24"/>
        </w:rPr>
        <w:t>Funding risks:</w:t>
      </w:r>
    </w:p>
    <w:p w:rsidR="00A76E9D" w:rsidRPr="00DF6F04" w:rsidRDefault="00A76E9D" w:rsidP="00A76E9D">
      <w:pPr>
        <w:rPr>
          <w:lang w:eastAsia="en-US"/>
        </w:rPr>
      </w:pPr>
    </w:p>
    <w:p w:rsidR="00A76E9D" w:rsidRPr="00DF6F04" w:rsidRDefault="00A76E9D" w:rsidP="00A76E9D">
      <w:pPr>
        <w:pStyle w:val="BodyTextGrey"/>
        <w:numPr>
          <w:ilvl w:val="0"/>
          <w:numId w:val="8"/>
        </w:numPr>
        <w:spacing w:after="0" w:line="240" w:lineRule="auto"/>
        <w:ind w:left="426" w:hanging="426"/>
        <w:jc w:val="both"/>
        <w:rPr>
          <w:color w:val="auto"/>
          <w:sz w:val="24"/>
          <w:szCs w:val="24"/>
        </w:rPr>
      </w:pPr>
      <w:r w:rsidRPr="00DF6F04">
        <w:rPr>
          <w:color w:val="auto"/>
          <w:sz w:val="24"/>
          <w:szCs w:val="24"/>
        </w:rPr>
        <w:t>Financial mismatch</w:t>
      </w:r>
    </w:p>
    <w:p w:rsidR="00A76E9D" w:rsidRPr="00DF6F04" w:rsidRDefault="00A76E9D" w:rsidP="00A76E9D">
      <w:pPr>
        <w:pStyle w:val="BodyTextGrey"/>
        <w:spacing w:after="0" w:line="240" w:lineRule="auto"/>
        <w:ind w:left="426"/>
        <w:jc w:val="both"/>
        <w:rPr>
          <w:color w:val="auto"/>
          <w:sz w:val="24"/>
          <w:szCs w:val="24"/>
        </w:rPr>
      </w:pPr>
    </w:p>
    <w:p w:rsidR="00A76E9D" w:rsidRPr="00DF6F04" w:rsidRDefault="00A76E9D" w:rsidP="00A76E9D">
      <w:pPr>
        <w:pStyle w:val="BodyTextGrey"/>
        <w:spacing w:after="0" w:line="240" w:lineRule="auto"/>
        <w:ind w:left="426"/>
        <w:jc w:val="both"/>
        <w:rPr>
          <w:color w:val="auto"/>
          <w:sz w:val="24"/>
          <w:szCs w:val="24"/>
        </w:rPr>
      </w:pPr>
      <w:r>
        <w:rPr>
          <w:color w:val="auto"/>
          <w:sz w:val="24"/>
          <w:szCs w:val="24"/>
        </w:rPr>
        <w:t xml:space="preserve">1. The risk </w:t>
      </w:r>
      <w:r w:rsidRPr="00DF6F04">
        <w:rPr>
          <w:color w:val="auto"/>
          <w:sz w:val="24"/>
          <w:szCs w:val="24"/>
        </w:rPr>
        <w:t>Fund assets fail to grow in line with cost of meeting Fund liabilities.</w:t>
      </w:r>
    </w:p>
    <w:p w:rsidR="00A76E9D" w:rsidRPr="00DF6F04" w:rsidRDefault="00A76E9D" w:rsidP="00A76E9D">
      <w:pPr>
        <w:pStyle w:val="BodyTextGrey"/>
        <w:spacing w:after="0" w:line="240" w:lineRule="auto"/>
        <w:ind w:left="426"/>
        <w:jc w:val="both"/>
        <w:rPr>
          <w:color w:val="auto"/>
          <w:sz w:val="24"/>
          <w:szCs w:val="24"/>
        </w:rPr>
      </w:pPr>
      <w:r w:rsidRPr="00DF6F04">
        <w:rPr>
          <w:color w:val="auto"/>
          <w:sz w:val="24"/>
          <w:szCs w:val="24"/>
        </w:rPr>
        <w:t>2. The risk that unexpected inflation increases the pension and benefit payments and the Fund assets do not grow fast enough to meet the increased cost.</w:t>
      </w:r>
    </w:p>
    <w:p w:rsidR="00A76E9D" w:rsidRPr="00DF6F04" w:rsidRDefault="00A76E9D" w:rsidP="00A76E9D">
      <w:pPr>
        <w:pStyle w:val="BodyTextGrey"/>
        <w:spacing w:after="0" w:line="240" w:lineRule="auto"/>
        <w:ind w:left="426"/>
        <w:jc w:val="both"/>
        <w:rPr>
          <w:color w:val="auto"/>
          <w:sz w:val="24"/>
          <w:szCs w:val="24"/>
        </w:rPr>
      </w:pPr>
    </w:p>
    <w:p w:rsidR="00A76E9D" w:rsidRPr="00DF6F04" w:rsidRDefault="00A76E9D" w:rsidP="00A76E9D">
      <w:pPr>
        <w:pStyle w:val="BodyTextGrey"/>
        <w:numPr>
          <w:ilvl w:val="0"/>
          <w:numId w:val="8"/>
        </w:numPr>
        <w:spacing w:after="0" w:line="240" w:lineRule="auto"/>
        <w:ind w:left="426" w:hanging="426"/>
        <w:jc w:val="both"/>
        <w:rPr>
          <w:color w:val="auto"/>
          <w:sz w:val="24"/>
          <w:szCs w:val="24"/>
        </w:rPr>
      </w:pPr>
      <w:r w:rsidRPr="00DF6F04">
        <w:rPr>
          <w:color w:val="auto"/>
          <w:sz w:val="24"/>
          <w:szCs w:val="24"/>
        </w:rPr>
        <w:t>Changing demographics –The risk that longevity improves and other demographic factors change increasing the cost of Fund benefits.</w:t>
      </w:r>
    </w:p>
    <w:p w:rsidR="00A76E9D" w:rsidRPr="00DF6F04" w:rsidRDefault="00A76E9D" w:rsidP="00A76E9D">
      <w:pPr>
        <w:pStyle w:val="BodyTextGrey"/>
        <w:spacing w:after="0" w:line="240" w:lineRule="auto"/>
        <w:ind w:left="426"/>
        <w:jc w:val="both"/>
        <w:rPr>
          <w:color w:val="auto"/>
          <w:sz w:val="24"/>
          <w:szCs w:val="24"/>
        </w:rPr>
      </w:pPr>
    </w:p>
    <w:p w:rsidR="00A76E9D" w:rsidRPr="00DF6F04" w:rsidRDefault="00A76E9D" w:rsidP="00A76E9D">
      <w:pPr>
        <w:pStyle w:val="BodyTextGrey"/>
        <w:numPr>
          <w:ilvl w:val="0"/>
          <w:numId w:val="8"/>
        </w:numPr>
        <w:spacing w:after="0" w:line="240" w:lineRule="auto"/>
        <w:ind w:left="426" w:hanging="426"/>
        <w:jc w:val="both"/>
        <w:rPr>
          <w:color w:val="auto"/>
          <w:sz w:val="24"/>
          <w:szCs w:val="24"/>
        </w:rPr>
      </w:pPr>
      <w:r w:rsidRPr="00DF6F04">
        <w:rPr>
          <w:color w:val="auto"/>
          <w:sz w:val="24"/>
          <w:szCs w:val="24"/>
        </w:rPr>
        <w:t>Systemic risk - The possibility of an interlinked and simultaneous failure of several asset classes and/or investment managers, possibly compounded by financial ‘contagion’, resulting in an increase in the cost of meeting Fund liabilities.</w:t>
      </w:r>
    </w:p>
    <w:p w:rsidR="00A76E9D" w:rsidRPr="00DF6F04" w:rsidRDefault="00A76E9D" w:rsidP="00A76E9D">
      <w:pPr>
        <w:pStyle w:val="BodyTextGrey"/>
        <w:spacing w:after="0" w:line="240" w:lineRule="auto"/>
        <w:ind w:left="426"/>
        <w:jc w:val="both"/>
        <w:rPr>
          <w:color w:val="auto"/>
          <w:sz w:val="24"/>
          <w:szCs w:val="24"/>
        </w:rPr>
      </w:pPr>
    </w:p>
    <w:p w:rsidR="00A76E9D" w:rsidRPr="00DF6F04" w:rsidRDefault="00A76E9D" w:rsidP="00A76E9D">
      <w:pPr>
        <w:pStyle w:val="BodyTextGrey"/>
        <w:spacing w:after="0" w:line="240" w:lineRule="auto"/>
        <w:jc w:val="both"/>
        <w:rPr>
          <w:color w:val="auto"/>
          <w:sz w:val="24"/>
          <w:szCs w:val="24"/>
        </w:rPr>
      </w:pPr>
      <w:r w:rsidRPr="00DF6F04">
        <w:rPr>
          <w:color w:val="auto"/>
          <w:sz w:val="24"/>
          <w:szCs w:val="24"/>
        </w:rPr>
        <w:t>The Panel measures and manages financial mismatch in two ways.  As indicated above, it has set a strategic asset allocation benchmark for the Fund.  It assesses risk relative to that benchmark by monitoring the Fund’s asset allocation and investment returns relative to the benchmark.  It also assesses risk relative to liabilities by monitoring the delivery of benchmark returns relative to liabilities.</w:t>
      </w:r>
    </w:p>
    <w:p w:rsidR="00A76E9D" w:rsidRPr="00DF6F04" w:rsidRDefault="00A76E9D" w:rsidP="00A76E9D">
      <w:pPr>
        <w:pStyle w:val="BodyTextGrey"/>
        <w:spacing w:after="0" w:line="240" w:lineRule="auto"/>
        <w:jc w:val="both"/>
        <w:rPr>
          <w:color w:val="auto"/>
          <w:sz w:val="24"/>
          <w:szCs w:val="24"/>
        </w:rPr>
      </w:pPr>
    </w:p>
    <w:p w:rsidR="00A76E9D" w:rsidRPr="00DF6F04" w:rsidRDefault="00A76E9D" w:rsidP="00A76E9D">
      <w:pPr>
        <w:pStyle w:val="BodyTextGrey"/>
        <w:spacing w:after="0" w:line="240" w:lineRule="auto"/>
        <w:jc w:val="both"/>
        <w:rPr>
          <w:color w:val="auto"/>
          <w:sz w:val="24"/>
          <w:szCs w:val="24"/>
        </w:rPr>
      </w:pPr>
      <w:r w:rsidRPr="00DF6F04">
        <w:rPr>
          <w:color w:val="auto"/>
          <w:sz w:val="24"/>
          <w:szCs w:val="24"/>
        </w:rPr>
        <w:t>The Panel keeps under review mortality and other demographic assumptions which could influence the cost of the benefits.  These assumptions are considered formally at the triennial valuation.</w:t>
      </w:r>
    </w:p>
    <w:p w:rsidR="00A76E9D" w:rsidRPr="00DF6F04" w:rsidRDefault="00A76E9D" w:rsidP="00A76E9D">
      <w:pPr>
        <w:pStyle w:val="BodyTextGrey"/>
        <w:spacing w:after="0" w:line="240" w:lineRule="auto"/>
        <w:jc w:val="both"/>
        <w:rPr>
          <w:color w:val="auto"/>
          <w:sz w:val="24"/>
          <w:szCs w:val="24"/>
        </w:rPr>
      </w:pPr>
    </w:p>
    <w:p w:rsidR="00A76E9D" w:rsidRDefault="00A76E9D" w:rsidP="00A76E9D">
      <w:pPr>
        <w:pStyle w:val="BodyTextGrey"/>
        <w:spacing w:after="0" w:line="240" w:lineRule="auto"/>
        <w:jc w:val="both"/>
        <w:rPr>
          <w:color w:val="auto"/>
          <w:sz w:val="24"/>
          <w:szCs w:val="24"/>
        </w:rPr>
      </w:pPr>
      <w:r w:rsidRPr="00DF6F04">
        <w:rPr>
          <w:color w:val="auto"/>
          <w:sz w:val="24"/>
          <w:szCs w:val="24"/>
        </w:rPr>
        <w:t>The Panel seeks to mitigate systemic risk through a diversified portfolio but it is not possible to make specific provision for all possible eventualities t</w:t>
      </w:r>
      <w:r>
        <w:rPr>
          <w:color w:val="auto"/>
          <w:sz w:val="24"/>
          <w:szCs w:val="24"/>
        </w:rPr>
        <w:t>hat may arise</w:t>
      </w:r>
      <w:r w:rsidRPr="00DF6F04">
        <w:rPr>
          <w:color w:val="auto"/>
          <w:sz w:val="24"/>
          <w:szCs w:val="24"/>
        </w:rPr>
        <w:t>.</w:t>
      </w:r>
    </w:p>
    <w:p w:rsidR="00A76E9D" w:rsidRPr="00DF6F04" w:rsidRDefault="00A76E9D" w:rsidP="00A76E9D">
      <w:pPr>
        <w:pStyle w:val="BodyTextGrey"/>
        <w:spacing w:after="0" w:line="240" w:lineRule="auto"/>
        <w:jc w:val="both"/>
        <w:rPr>
          <w:color w:val="auto"/>
          <w:sz w:val="24"/>
          <w:szCs w:val="24"/>
        </w:rPr>
      </w:pPr>
    </w:p>
    <w:p w:rsidR="00A76E9D" w:rsidRPr="00355A28" w:rsidRDefault="00A76E9D" w:rsidP="00A76E9D">
      <w:pPr>
        <w:pStyle w:val="Heading4"/>
        <w:spacing w:before="0" w:line="240" w:lineRule="auto"/>
        <w:jc w:val="both"/>
        <w:rPr>
          <w:rFonts w:ascii="Arial" w:hAnsi="Arial" w:cs="Arial"/>
          <w:i w:val="0"/>
          <w:color w:val="C00000"/>
          <w:sz w:val="24"/>
          <w:szCs w:val="24"/>
        </w:rPr>
      </w:pPr>
      <w:r w:rsidRPr="00355A28">
        <w:rPr>
          <w:rFonts w:ascii="Arial" w:hAnsi="Arial" w:cs="Arial"/>
          <w:i w:val="0"/>
          <w:color w:val="C00000"/>
          <w:sz w:val="24"/>
          <w:szCs w:val="24"/>
        </w:rPr>
        <w:t>Asset risks</w:t>
      </w:r>
    </w:p>
    <w:p w:rsidR="00A76E9D" w:rsidRPr="00DF6F04" w:rsidRDefault="00A76E9D" w:rsidP="00A76E9D">
      <w:pPr>
        <w:rPr>
          <w:lang w:eastAsia="en-US"/>
        </w:rPr>
      </w:pPr>
    </w:p>
    <w:p w:rsidR="00A76E9D" w:rsidRPr="00DF6F04" w:rsidRDefault="00A76E9D" w:rsidP="00A76E9D">
      <w:pPr>
        <w:pStyle w:val="BodyTextGrey"/>
        <w:numPr>
          <w:ilvl w:val="0"/>
          <w:numId w:val="9"/>
        </w:numPr>
        <w:spacing w:after="0" w:line="240" w:lineRule="auto"/>
        <w:ind w:left="426" w:hanging="426"/>
        <w:jc w:val="both"/>
        <w:rPr>
          <w:color w:val="auto"/>
          <w:sz w:val="24"/>
          <w:szCs w:val="24"/>
        </w:rPr>
      </w:pPr>
      <w:r w:rsidRPr="00DF6F04">
        <w:rPr>
          <w:color w:val="auto"/>
          <w:sz w:val="24"/>
          <w:szCs w:val="24"/>
        </w:rPr>
        <w:t xml:space="preserve">Concentration - risk </w:t>
      </w:r>
      <w:r>
        <w:rPr>
          <w:color w:val="auto"/>
          <w:sz w:val="24"/>
          <w:szCs w:val="24"/>
        </w:rPr>
        <w:t>a</w:t>
      </w:r>
      <w:r w:rsidRPr="00DF6F04">
        <w:rPr>
          <w:color w:val="auto"/>
          <w:sz w:val="24"/>
          <w:szCs w:val="24"/>
        </w:rPr>
        <w:t xml:space="preserve"> significant allocation to a single asset category and its underperformance relative to expectation would result in difficulties in achieving funding objectives.</w:t>
      </w:r>
    </w:p>
    <w:p w:rsidR="00A76E9D" w:rsidRPr="00DF6F04" w:rsidRDefault="00A76E9D" w:rsidP="00A76E9D">
      <w:pPr>
        <w:pStyle w:val="BodyTextGrey"/>
        <w:spacing w:after="0" w:line="240" w:lineRule="auto"/>
        <w:ind w:left="426"/>
        <w:jc w:val="both"/>
        <w:rPr>
          <w:color w:val="auto"/>
          <w:sz w:val="24"/>
          <w:szCs w:val="24"/>
        </w:rPr>
      </w:pPr>
    </w:p>
    <w:p w:rsidR="00A76E9D" w:rsidRPr="00DF6F04" w:rsidRDefault="00A76E9D" w:rsidP="00A76E9D">
      <w:pPr>
        <w:pStyle w:val="BodyTextGrey"/>
        <w:numPr>
          <w:ilvl w:val="0"/>
          <w:numId w:val="9"/>
        </w:numPr>
        <w:spacing w:after="0" w:line="240" w:lineRule="auto"/>
        <w:ind w:left="426" w:hanging="426"/>
        <w:jc w:val="both"/>
        <w:rPr>
          <w:color w:val="auto"/>
          <w:sz w:val="24"/>
          <w:szCs w:val="24"/>
        </w:rPr>
      </w:pPr>
      <w:r w:rsidRPr="00DF6F04">
        <w:rPr>
          <w:color w:val="auto"/>
          <w:sz w:val="24"/>
          <w:szCs w:val="24"/>
        </w:rPr>
        <w:lastRenderedPageBreak/>
        <w:t xml:space="preserve">Illiquidity - The risk that the Fund cannot meet its immediate liabilities because it has insufficient liquid assets. </w:t>
      </w:r>
    </w:p>
    <w:p w:rsidR="00A76E9D" w:rsidRPr="00DF6F04" w:rsidRDefault="00A76E9D" w:rsidP="00A76E9D">
      <w:pPr>
        <w:pStyle w:val="BodyTextGrey"/>
        <w:spacing w:after="0" w:line="240" w:lineRule="auto"/>
        <w:ind w:left="426"/>
        <w:jc w:val="both"/>
        <w:rPr>
          <w:color w:val="auto"/>
          <w:sz w:val="24"/>
          <w:szCs w:val="24"/>
        </w:rPr>
      </w:pPr>
    </w:p>
    <w:p w:rsidR="00A76E9D" w:rsidRPr="00DF6F04" w:rsidRDefault="00A76E9D" w:rsidP="00A76E9D">
      <w:pPr>
        <w:pStyle w:val="BodyTextGrey"/>
        <w:numPr>
          <w:ilvl w:val="0"/>
          <w:numId w:val="9"/>
        </w:numPr>
        <w:spacing w:after="0" w:line="240" w:lineRule="auto"/>
        <w:ind w:left="426" w:hanging="426"/>
        <w:jc w:val="both"/>
        <w:rPr>
          <w:color w:val="auto"/>
          <w:sz w:val="24"/>
          <w:szCs w:val="24"/>
        </w:rPr>
      </w:pPr>
      <w:r w:rsidRPr="00DF6F04">
        <w:rPr>
          <w:color w:val="auto"/>
          <w:sz w:val="24"/>
          <w:szCs w:val="24"/>
        </w:rPr>
        <w:t xml:space="preserve">Manager underperformance - The failure by the fund managers to achieve the rate of investment return assumed in setting their mandates </w:t>
      </w:r>
    </w:p>
    <w:p w:rsidR="00A76E9D" w:rsidRPr="00DF6F04" w:rsidRDefault="00A76E9D" w:rsidP="00A76E9D">
      <w:pPr>
        <w:pStyle w:val="BodyTextGrey"/>
        <w:spacing w:after="0" w:line="240" w:lineRule="auto"/>
        <w:jc w:val="both"/>
        <w:rPr>
          <w:color w:val="auto"/>
          <w:sz w:val="24"/>
          <w:szCs w:val="24"/>
        </w:rPr>
      </w:pPr>
    </w:p>
    <w:p w:rsidR="00A76E9D" w:rsidRPr="00DF6F04" w:rsidRDefault="00A76E9D" w:rsidP="00A76E9D">
      <w:pPr>
        <w:pStyle w:val="BodyTextGrey"/>
        <w:spacing w:after="0" w:line="240" w:lineRule="auto"/>
        <w:jc w:val="both"/>
        <w:rPr>
          <w:color w:val="auto"/>
          <w:sz w:val="24"/>
          <w:szCs w:val="24"/>
        </w:rPr>
      </w:pPr>
      <w:r w:rsidRPr="00DF6F04">
        <w:rPr>
          <w:color w:val="auto"/>
          <w:sz w:val="24"/>
          <w:szCs w:val="24"/>
        </w:rPr>
        <w:t xml:space="preserve">The Panel manages asset risks as follows:  </w:t>
      </w:r>
    </w:p>
    <w:p w:rsidR="00A76E9D" w:rsidRPr="00DF6F04" w:rsidRDefault="00A76E9D" w:rsidP="00A76E9D">
      <w:pPr>
        <w:pStyle w:val="BodyTextGrey"/>
        <w:spacing w:after="0" w:line="240" w:lineRule="auto"/>
        <w:jc w:val="both"/>
        <w:rPr>
          <w:color w:val="auto"/>
          <w:sz w:val="24"/>
          <w:szCs w:val="24"/>
        </w:rPr>
      </w:pPr>
    </w:p>
    <w:p w:rsidR="00A76E9D" w:rsidRPr="00DF6F04" w:rsidRDefault="00A76E9D" w:rsidP="00A76E9D">
      <w:pPr>
        <w:pStyle w:val="BodyTextGrey"/>
        <w:spacing w:after="0" w:line="240" w:lineRule="auto"/>
        <w:jc w:val="both"/>
        <w:rPr>
          <w:color w:val="auto"/>
          <w:sz w:val="24"/>
          <w:szCs w:val="24"/>
        </w:rPr>
      </w:pPr>
      <w:r w:rsidRPr="00DF6F04">
        <w:rPr>
          <w:color w:val="auto"/>
          <w:sz w:val="24"/>
          <w:szCs w:val="24"/>
        </w:rPr>
        <w:t xml:space="preserve">It provides a practical constraint on Fund investments deviating greatly from the intended approach by setting itself diversification guidelines and by investing in a range of investment mandates each of which has a defined objective, performance benchmark and manager process which, taken in aggregate, constrains risk within the Panel’s expected parameters. By investing across a range of assets, including quoted equities and bonds; the Panel has recognised the need for some access to liquidity in the short term.  In appointing several investment managers, the Panel has considered the risk of underperformance by any single investment manager.  </w:t>
      </w:r>
    </w:p>
    <w:p w:rsidR="00A76E9D" w:rsidRDefault="00A76E9D" w:rsidP="00A76E9D">
      <w:pPr>
        <w:pStyle w:val="Heading4"/>
        <w:spacing w:before="0" w:line="240" w:lineRule="auto"/>
        <w:jc w:val="both"/>
        <w:rPr>
          <w:rFonts w:ascii="Arial" w:hAnsi="Arial" w:cs="Arial"/>
          <w:b w:val="0"/>
          <w:i w:val="0"/>
          <w:sz w:val="24"/>
          <w:szCs w:val="24"/>
        </w:rPr>
      </w:pPr>
    </w:p>
    <w:p w:rsidR="00A76E9D" w:rsidRPr="00355A28" w:rsidRDefault="00A76E9D" w:rsidP="00A76E9D">
      <w:pPr>
        <w:pStyle w:val="Heading4"/>
        <w:spacing w:before="0" w:line="240" w:lineRule="auto"/>
        <w:jc w:val="both"/>
        <w:rPr>
          <w:rFonts w:ascii="Arial" w:hAnsi="Arial" w:cs="Arial"/>
          <w:i w:val="0"/>
          <w:color w:val="C00000"/>
          <w:sz w:val="24"/>
          <w:szCs w:val="24"/>
        </w:rPr>
      </w:pPr>
      <w:r w:rsidRPr="00355A28">
        <w:rPr>
          <w:rFonts w:ascii="Arial" w:hAnsi="Arial" w:cs="Arial"/>
          <w:i w:val="0"/>
          <w:color w:val="C00000"/>
          <w:sz w:val="24"/>
          <w:szCs w:val="24"/>
        </w:rPr>
        <w:t>Other provider risk</w:t>
      </w:r>
    </w:p>
    <w:p w:rsidR="00A76E9D" w:rsidRPr="00DF6F04" w:rsidRDefault="00A76E9D" w:rsidP="00A76E9D">
      <w:pPr>
        <w:rPr>
          <w:lang w:eastAsia="en-US"/>
        </w:rPr>
      </w:pPr>
    </w:p>
    <w:p w:rsidR="00A76E9D" w:rsidRPr="00DF6F04" w:rsidRDefault="00A76E9D" w:rsidP="00A76E9D">
      <w:pPr>
        <w:pStyle w:val="BodyTextGrey"/>
        <w:numPr>
          <w:ilvl w:val="0"/>
          <w:numId w:val="10"/>
        </w:numPr>
        <w:spacing w:after="0" w:line="240" w:lineRule="auto"/>
        <w:ind w:left="426" w:hanging="426"/>
        <w:jc w:val="both"/>
        <w:rPr>
          <w:color w:val="auto"/>
          <w:sz w:val="24"/>
          <w:szCs w:val="24"/>
        </w:rPr>
      </w:pPr>
      <w:r w:rsidRPr="00DF6F04">
        <w:rPr>
          <w:color w:val="auto"/>
          <w:sz w:val="24"/>
          <w:szCs w:val="24"/>
        </w:rPr>
        <w:t>Transition risk - The risk of incurring unexpected costs in relation to the transition of assets among managers.  When carrying out significant transitions, the Panel takes professional advice and considers the appointment of specialist transition managers.</w:t>
      </w:r>
    </w:p>
    <w:p w:rsidR="00A76E9D" w:rsidRPr="00DF6F04" w:rsidRDefault="00A76E9D" w:rsidP="00A76E9D">
      <w:pPr>
        <w:pStyle w:val="BodyTextGrey"/>
        <w:numPr>
          <w:ilvl w:val="0"/>
          <w:numId w:val="10"/>
        </w:numPr>
        <w:spacing w:after="0" w:line="240" w:lineRule="auto"/>
        <w:ind w:left="426" w:hanging="426"/>
        <w:jc w:val="both"/>
        <w:rPr>
          <w:color w:val="auto"/>
          <w:sz w:val="24"/>
          <w:szCs w:val="24"/>
        </w:rPr>
      </w:pPr>
      <w:r w:rsidRPr="00DF6F04">
        <w:rPr>
          <w:color w:val="auto"/>
          <w:sz w:val="24"/>
          <w:szCs w:val="24"/>
        </w:rPr>
        <w:t xml:space="preserve">Custody risk - The risk of losing economic rights to Fund assets, when held in custody or when being traded.  </w:t>
      </w:r>
    </w:p>
    <w:p w:rsidR="00A76E9D" w:rsidRPr="00DF6F04" w:rsidRDefault="00A76E9D" w:rsidP="00A76E9D">
      <w:pPr>
        <w:pStyle w:val="BodyTextGrey"/>
        <w:numPr>
          <w:ilvl w:val="0"/>
          <w:numId w:val="10"/>
        </w:numPr>
        <w:spacing w:after="0" w:line="240" w:lineRule="auto"/>
        <w:ind w:left="426" w:hanging="426"/>
        <w:jc w:val="both"/>
        <w:rPr>
          <w:color w:val="auto"/>
          <w:sz w:val="24"/>
          <w:szCs w:val="24"/>
        </w:rPr>
      </w:pPr>
      <w:r w:rsidRPr="00DF6F04">
        <w:rPr>
          <w:color w:val="auto"/>
          <w:sz w:val="24"/>
          <w:szCs w:val="24"/>
        </w:rPr>
        <w:t xml:space="preserve">Credit default - The possibility of default of a counterparty in meeting its obligations. </w:t>
      </w:r>
    </w:p>
    <w:p w:rsidR="00A76E9D" w:rsidRPr="00DF6F04" w:rsidRDefault="00A76E9D" w:rsidP="00A76E9D">
      <w:pPr>
        <w:pStyle w:val="BodyTextGrey"/>
        <w:spacing w:after="0" w:line="240" w:lineRule="auto"/>
        <w:ind w:left="426"/>
        <w:jc w:val="both"/>
        <w:rPr>
          <w:color w:val="auto"/>
          <w:sz w:val="24"/>
          <w:szCs w:val="24"/>
        </w:rPr>
      </w:pPr>
    </w:p>
    <w:p w:rsidR="00A76E9D" w:rsidRPr="00DF6F04" w:rsidRDefault="00A76E9D" w:rsidP="00A76E9D">
      <w:pPr>
        <w:pStyle w:val="BodyTextGrey"/>
        <w:spacing w:after="0" w:line="240" w:lineRule="auto"/>
        <w:jc w:val="both"/>
        <w:rPr>
          <w:color w:val="auto"/>
          <w:sz w:val="24"/>
          <w:szCs w:val="24"/>
        </w:rPr>
      </w:pPr>
      <w:bookmarkStart w:id="1" w:name="OLE_LINK2"/>
      <w:r w:rsidRPr="00DF6F04">
        <w:rPr>
          <w:color w:val="auto"/>
          <w:sz w:val="24"/>
          <w:szCs w:val="24"/>
        </w:rPr>
        <w:t xml:space="preserve">The Panel </w:t>
      </w:r>
      <w:bookmarkEnd w:id="1"/>
      <w:r w:rsidRPr="00DF6F04">
        <w:rPr>
          <w:color w:val="auto"/>
          <w:sz w:val="24"/>
          <w:szCs w:val="24"/>
        </w:rPr>
        <w:t>monitors and manages risks in these areas through a process of regular scrutiny of its providers and audit of the operations they conduct for the Fund.</w:t>
      </w:r>
    </w:p>
    <w:p w:rsidR="00A76E9D" w:rsidRPr="00DF6F04" w:rsidRDefault="00A76E9D" w:rsidP="00A76E9D">
      <w:pPr>
        <w:pStyle w:val="BodyTextGrey"/>
        <w:spacing w:after="0" w:line="240" w:lineRule="auto"/>
        <w:jc w:val="both"/>
        <w:rPr>
          <w:color w:val="auto"/>
          <w:sz w:val="24"/>
          <w:szCs w:val="24"/>
        </w:rPr>
      </w:pPr>
    </w:p>
    <w:p w:rsidR="00A76E9D" w:rsidRPr="00DF6F04" w:rsidRDefault="00A76E9D" w:rsidP="00A76E9D">
      <w:pPr>
        <w:pStyle w:val="BodyTextGrey"/>
        <w:spacing w:after="0" w:line="240" w:lineRule="auto"/>
        <w:jc w:val="both"/>
        <w:rPr>
          <w:color w:val="auto"/>
          <w:sz w:val="24"/>
          <w:szCs w:val="24"/>
        </w:rPr>
      </w:pPr>
      <w:r w:rsidRPr="00DF6F04">
        <w:rPr>
          <w:color w:val="auto"/>
          <w:sz w:val="24"/>
          <w:szCs w:val="24"/>
        </w:rPr>
        <w:t>The Fund also maintains an extensive risk register, where risk</w:t>
      </w:r>
      <w:r>
        <w:rPr>
          <w:color w:val="auto"/>
          <w:sz w:val="24"/>
          <w:szCs w:val="24"/>
        </w:rPr>
        <w:t>s</w:t>
      </w:r>
      <w:r w:rsidRPr="00DF6F04">
        <w:rPr>
          <w:color w:val="auto"/>
          <w:sz w:val="24"/>
          <w:szCs w:val="24"/>
        </w:rPr>
        <w:t xml:space="preserve"> the Fund is exposed to </w:t>
      </w:r>
      <w:r>
        <w:rPr>
          <w:color w:val="auto"/>
          <w:sz w:val="24"/>
          <w:szCs w:val="24"/>
        </w:rPr>
        <w:t>are</w:t>
      </w:r>
      <w:r w:rsidRPr="00DF6F04">
        <w:rPr>
          <w:color w:val="auto"/>
          <w:sz w:val="24"/>
          <w:szCs w:val="24"/>
        </w:rPr>
        <w:t xml:space="preserve"> considered, with appropriate action taken to mitigate the risk where possible.</w:t>
      </w:r>
    </w:p>
    <w:p w:rsidR="00A76E9D" w:rsidRPr="00DF6F04" w:rsidRDefault="00A76E9D" w:rsidP="00A76E9D">
      <w:pPr>
        <w:pStyle w:val="BodyTextGrey"/>
        <w:spacing w:after="0" w:line="240" w:lineRule="auto"/>
        <w:jc w:val="both"/>
        <w:rPr>
          <w:b/>
          <w:color w:val="auto"/>
          <w:sz w:val="24"/>
          <w:szCs w:val="24"/>
        </w:rPr>
      </w:pPr>
    </w:p>
    <w:p w:rsidR="00A76E9D" w:rsidRPr="00DF6F04" w:rsidRDefault="00A76E9D" w:rsidP="00A76E9D">
      <w:pPr>
        <w:pStyle w:val="Heading2"/>
        <w:jc w:val="both"/>
        <w:rPr>
          <w:rFonts w:ascii="Arial" w:hAnsi="Arial" w:cs="Arial"/>
          <w:szCs w:val="24"/>
        </w:rPr>
      </w:pPr>
      <w:r w:rsidRPr="00DF6F04">
        <w:rPr>
          <w:rFonts w:ascii="Arial" w:hAnsi="Arial" w:cs="Arial"/>
          <w:szCs w:val="24"/>
        </w:rPr>
        <w:t>Realisation of investments</w:t>
      </w:r>
    </w:p>
    <w:p w:rsidR="00A76E9D" w:rsidRPr="00DF6F04" w:rsidRDefault="00A76E9D" w:rsidP="00A76E9D">
      <w:pPr>
        <w:pStyle w:val="Heading2"/>
        <w:numPr>
          <w:ilvl w:val="0"/>
          <w:numId w:val="0"/>
        </w:numPr>
        <w:ind w:left="360"/>
        <w:jc w:val="both"/>
        <w:rPr>
          <w:rFonts w:ascii="Arial" w:hAnsi="Arial" w:cs="Arial"/>
          <w:szCs w:val="24"/>
        </w:rPr>
      </w:pPr>
    </w:p>
    <w:p w:rsidR="00A76E9D" w:rsidRPr="00DF6F04" w:rsidRDefault="00A76E9D" w:rsidP="00A76E9D">
      <w:pPr>
        <w:pStyle w:val="Heading2"/>
        <w:numPr>
          <w:ilvl w:val="0"/>
          <w:numId w:val="0"/>
        </w:numPr>
        <w:jc w:val="both"/>
        <w:rPr>
          <w:rFonts w:ascii="Arial" w:hAnsi="Arial" w:cs="Arial"/>
          <w:b w:val="0"/>
          <w:szCs w:val="24"/>
        </w:rPr>
      </w:pPr>
      <w:r w:rsidRPr="00DF6F04">
        <w:rPr>
          <w:rFonts w:ascii="Arial" w:hAnsi="Arial" w:cs="Arial"/>
          <w:b w:val="0"/>
          <w:szCs w:val="24"/>
        </w:rPr>
        <w:t xml:space="preserve">The majority of </w:t>
      </w:r>
      <w:r>
        <w:rPr>
          <w:rFonts w:ascii="Arial" w:hAnsi="Arial" w:cs="Arial"/>
          <w:b w:val="0"/>
          <w:szCs w:val="24"/>
        </w:rPr>
        <w:t>the</w:t>
      </w:r>
      <w:r w:rsidRPr="00DF6F04">
        <w:rPr>
          <w:rFonts w:ascii="Arial" w:hAnsi="Arial" w:cs="Arial"/>
          <w:b w:val="0"/>
          <w:szCs w:val="24"/>
        </w:rPr>
        <w:t xml:space="preserve"> Fund’s investments are quoted on major stock markets and may be realised relatively quickly if required. A proportion of </w:t>
      </w:r>
      <w:r>
        <w:rPr>
          <w:rFonts w:ascii="Arial" w:hAnsi="Arial" w:cs="Arial"/>
          <w:b w:val="0"/>
          <w:szCs w:val="24"/>
        </w:rPr>
        <w:t>the</w:t>
      </w:r>
      <w:r w:rsidRPr="00DF6F04">
        <w:rPr>
          <w:rFonts w:ascii="Arial" w:hAnsi="Arial" w:cs="Arial"/>
          <w:b w:val="0"/>
          <w:szCs w:val="24"/>
        </w:rPr>
        <w:t xml:space="preserve"> Fund’s investments, in</w:t>
      </w:r>
      <w:r>
        <w:rPr>
          <w:rFonts w:ascii="Arial" w:hAnsi="Arial" w:cs="Arial"/>
          <w:b w:val="0"/>
          <w:szCs w:val="24"/>
        </w:rPr>
        <w:t>cluding P</w:t>
      </w:r>
      <w:r w:rsidRPr="00DF6F04">
        <w:rPr>
          <w:rFonts w:ascii="Arial" w:hAnsi="Arial" w:cs="Arial"/>
          <w:b w:val="0"/>
          <w:szCs w:val="24"/>
        </w:rPr>
        <w:t>roperty</w:t>
      </w:r>
      <w:r>
        <w:rPr>
          <w:rFonts w:ascii="Arial" w:hAnsi="Arial" w:cs="Arial"/>
          <w:b w:val="0"/>
          <w:szCs w:val="24"/>
        </w:rPr>
        <w:t>, I</w:t>
      </w:r>
      <w:r w:rsidRPr="00DF6F04">
        <w:rPr>
          <w:rFonts w:ascii="Arial" w:hAnsi="Arial" w:cs="Arial"/>
          <w:b w:val="0"/>
          <w:szCs w:val="24"/>
        </w:rPr>
        <w:t>nfrastructure</w:t>
      </w:r>
      <w:r>
        <w:rPr>
          <w:rFonts w:ascii="Arial" w:hAnsi="Arial" w:cs="Arial"/>
          <w:b w:val="0"/>
          <w:szCs w:val="24"/>
        </w:rPr>
        <w:t xml:space="preserve"> and Diversified Alternatives</w:t>
      </w:r>
      <w:r w:rsidRPr="00DF6F04">
        <w:rPr>
          <w:rFonts w:ascii="Arial" w:hAnsi="Arial" w:cs="Arial"/>
          <w:b w:val="0"/>
          <w:szCs w:val="24"/>
        </w:rPr>
        <w:t>, with 7%</w:t>
      </w:r>
      <w:r>
        <w:rPr>
          <w:rFonts w:ascii="Arial" w:hAnsi="Arial" w:cs="Arial"/>
          <w:b w:val="0"/>
          <w:szCs w:val="24"/>
        </w:rPr>
        <w:t>, 10%</w:t>
      </w:r>
      <w:r w:rsidRPr="00DF6F04">
        <w:rPr>
          <w:rFonts w:ascii="Arial" w:hAnsi="Arial" w:cs="Arial"/>
          <w:b w:val="0"/>
          <w:szCs w:val="24"/>
        </w:rPr>
        <w:t xml:space="preserve"> and </w:t>
      </w:r>
      <w:r>
        <w:rPr>
          <w:rFonts w:ascii="Arial" w:hAnsi="Arial" w:cs="Arial"/>
          <w:b w:val="0"/>
          <w:szCs w:val="24"/>
        </w:rPr>
        <w:t>7</w:t>
      </w:r>
      <w:r w:rsidRPr="00DF6F04">
        <w:rPr>
          <w:rFonts w:ascii="Arial" w:hAnsi="Arial" w:cs="Arial"/>
          <w:b w:val="0"/>
          <w:szCs w:val="24"/>
        </w:rPr>
        <w:t>%</w:t>
      </w:r>
      <w:r>
        <w:rPr>
          <w:rFonts w:ascii="Arial" w:hAnsi="Arial" w:cs="Arial"/>
          <w:b w:val="0"/>
          <w:szCs w:val="24"/>
        </w:rPr>
        <w:t xml:space="preserve"> respective</w:t>
      </w:r>
      <w:r w:rsidRPr="00DF6F04">
        <w:rPr>
          <w:rFonts w:ascii="Arial" w:hAnsi="Arial" w:cs="Arial"/>
          <w:b w:val="0"/>
          <w:szCs w:val="24"/>
        </w:rPr>
        <w:t xml:space="preserve"> benchmark allocation</w:t>
      </w:r>
      <w:r>
        <w:rPr>
          <w:rFonts w:ascii="Arial" w:hAnsi="Arial" w:cs="Arial"/>
          <w:b w:val="0"/>
          <w:szCs w:val="24"/>
        </w:rPr>
        <w:t>s</w:t>
      </w:r>
      <w:r w:rsidRPr="00DF6F04">
        <w:rPr>
          <w:rFonts w:ascii="Arial" w:hAnsi="Arial" w:cs="Arial"/>
          <w:b w:val="0"/>
          <w:szCs w:val="24"/>
        </w:rPr>
        <w:t xml:space="preserve">, would take longer to be realised. </w:t>
      </w:r>
    </w:p>
    <w:p w:rsidR="00A76E9D" w:rsidRPr="00DF6F04" w:rsidRDefault="00A76E9D" w:rsidP="00A76E9D">
      <w:pPr>
        <w:pStyle w:val="Heading2"/>
        <w:numPr>
          <w:ilvl w:val="0"/>
          <w:numId w:val="0"/>
        </w:numPr>
        <w:jc w:val="both"/>
        <w:rPr>
          <w:rFonts w:ascii="Arial" w:hAnsi="Arial" w:cs="Arial"/>
          <w:b w:val="0"/>
          <w:szCs w:val="24"/>
        </w:rPr>
      </w:pPr>
    </w:p>
    <w:p w:rsidR="00A76E9D" w:rsidRPr="00DF6F04" w:rsidRDefault="00A76E9D" w:rsidP="00A76E9D">
      <w:pPr>
        <w:pStyle w:val="Heading2"/>
        <w:numPr>
          <w:ilvl w:val="0"/>
          <w:numId w:val="0"/>
        </w:numPr>
        <w:jc w:val="both"/>
        <w:rPr>
          <w:rFonts w:ascii="Arial" w:hAnsi="Arial" w:cs="Arial"/>
          <w:b w:val="0"/>
          <w:szCs w:val="24"/>
        </w:rPr>
      </w:pPr>
      <w:r w:rsidRPr="00DF6F04">
        <w:rPr>
          <w:rFonts w:ascii="Arial" w:hAnsi="Arial" w:cs="Arial"/>
          <w:b w:val="0"/>
          <w:szCs w:val="24"/>
        </w:rPr>
        <w:t xml:space="preserve">The overall liquidity of </w:t>
      </w:r>
      <w:r>
        <w:rPr>
          <w:rFonts w:ascii="Arial" w:hAnsi="Arial" w:cs="Arial"/>
          <w:b w:val="0"/>
          <w:szCs w:val="24"/>
        </w:rPr>
        <w:t xml:space="preserve">the </w:t>
      </w:r>
      <w:r w:rsidRPr="00DF6F04">
        <w:rPr>
          <w:rFonts w:ascii="Arial" w:hAnsi="Arial" w:cs="Arial"/>
          <w:b w:val="0"/>
          <w:szCs w:val="24"/>
        </w:rPr>
        <w:t>Fund’s assets is considered in the light of potential demands for cash.</w:t>
      </w:r>
    </w:p>
    <w:p w:rsidR="00A76E9D" w:rsidRDefault="00A76E9D" w:rsidP="00A76E9D">
      <w:pPr>
        <w:pStyle w:val="BodyTextGrey"/>
        <w:spacing w:after="0" w:line="240" w:lineRule="auto"/>
        <w:jc w:val="both"/>
        <w:rPr>
          <w:color w:val="auto"/>
          <w:sz w:val="24"/>
          <w:szCs w:val="24"/>
        </w:rPr>
      </w:pPr>
    </w:p>
    <w:p w:rsidR="00A76E9D" w:rsidRPr="00DF6F04" w:rsidRDefault="00A76E9D" w:rsidP="00A76E9D">
      <w:pPr>
        <w:pStyle w:val="Heading2"/>
        <w:jc w:val="both"/>
        <w:rPr>
          <w:rFonts w:ascii="Arial" w:hAnsi="Arial" w:cs="Arial"/>
          <w:szCs w:val="24"/>
        </w:rPr>
      </w:pPr>
      <w:r w:rsidRPr="00DF6F04">
        <w:rPr>
          <w:rFonts w:ascii="Arial" w:hAnsi="Arial" w:cs="Arial"/>
          <w:szCs w:val="24"/>
        </w:rPr>
        <w:t>Expected return on investments</w:t>
      </w:r>
    </w:p>
    <w:p w:rsidR="00A76E9D" w:rsidRPr="00DF6F04" w:rsidRDefault="00A76E9D" w:rsidP="00A76E9D"/>
    <w:p w:rsidR="00A76E9D" w:rsidRPr="00DF6F04" w:rsidRDefault="00A76E9D" w:rsidP="00A76E9D">
      <w:pPr>
        <w:pStyle w:val="BodyTextGrey"/>
        <w:spacing w:after="0" w:line="240" w:lineRule="auto"/>
        <w:jc w:val="both"/>
        <w:rPr>
          <w:color w:val="auto"/>
          <w:sz w:val="24"/>
          <w:szCs w:val="24"/>
        </w:rPr>
      </w:pPr>
      <w:r w:rsidRPr="00DF6F04">
        <w:rPr>
          <w:color w:val="auto"/>
          <w:sz w:val="24"/>
          <w:szCs w:val="24"/>
        </w:rPr>
        <w:t>Over the long term, the overall level of investment returns is expected to exceed the rate of return assumed by the actuary in funding the Fund.</w:t>
      </w:r>
      <w:r>
        <w:rPr>
          <w:color w:val="auto"/>
          <w:sz w:val="24"/>
          <w:szCs w:val="24"/>
        </w:rPr>
        <w:t xml:space="preserve"> For the 2016 triennial valuation the actuary has calculated the return expectation as 4.1%.</w:t>
      </w:r>
    </w:p>
    <w:p w:rsidR="00A76E9D" w:rsidRPr="00E9253D" w:rsidRDefault="00A76E9D" w:rsidP="00A76E9D">
      <w:pPr>
        <w:pStyle w:val="Heading2"/>
        <w:jc w:val="both"/>
        <w:rPr>
          <w:rFonts w:ascii="Arial" w:hAnsi="Arial" w:cs="Arial"/>
          <w:szCs w:val="24"/>
        </w:rPr>
      </w:pPr>
      <w:r w:rsidRPr="00DF6F04">
        <w:rPr>
          <w:rFonts w:ascii="Arial" w:hAnsi="Arial" w:cs="Arial"/>
          <w:szCs w:val="24"/>
        </w:rPr>
        <w:lastRenderedPageBreak/>
        <w:t xml:space="preserve">Social, Environmental and Ethical Considerations </w:t>
      </w:r>
      <w:r w:rsidRPr="00E9253D">
        <w:rPr>
          <w:rFonts w:ascii="Arial" w:hAnsi="Arial" w:cs="Arial"/>
          <w:b w:val="0"/>
          <w:szCs w:val="24"/>
        </w:rPr>
        <w:t>(</w:t>
      </w:r>
      <w:r w:rsidRPr="00E9253D">
        <w:rPr>
          <w:rFonts w:ascii="Arial" w:hAnsi="Arial" w:cs="Arial"/>
          <w:b w:val="0"/>
          <w:bCs/>
          <w:szCs w:val="24"/>
        </w:rPr>
        <w:t>Regulation 7(2)(e) - How social, environmental or corporate governance considerations are taken into account in the selection, non-selection, retention and realisation of investments</w:t>
      </w:r>
      <w:r>
        <w:rPr>
          <w:rFonts w:ascii="Arial" w:hAnsi="Arial" w:cs="Arial"/>
          <w:b w:val="0"/>
          <w:bCs/>
          <w:szCs w:val="24"/>
        </w:rPr>
        <w:t>)</w:t>
      </w:r>
    </w:p>
    <w:p w:rsidR="00A76E9D" w:rsidRPr="00DF6F04" w:rsidRDefault="00A76E9D" w:rsidP="00A76E9D"/>
    <w:p w:rsidR="00A76E9D" w:rsidRDefault="00A76E9D" w:rsidP="00A76E9D">
      <w:pPr>
        <w:jc w:val="both"/>
        <w:rPr>
          <w:rFonts w:ascii="Arial" w:hAnsi="Arial" w:cs="Arial"/>
        </w:rPr>
      </w:pPr>
      <w:r w:rsidRPr="002F6C74">
        <w:rPr>
          <w:rFonts w:ascii="Arial" w:hAnsi="Arial" w:cs="Arial"/>
        </w:rPr>
        <w:t xml:space="preserve">The Fund is committed to being a long-term steward of the assets in which it invests and expects this approach to protect and enhance the value of the Fund in the long term. In making investment decisions, the Fund seeks and receives proper advice from internal and external advisers with the requisite knowledge and skills. </w:t>
      </w:r>
    </w:p>
    <w:p w:rsidR="00A76E9D" w:rsidRPr="002F6C74" w:rsidRDefault="00A76E9D" w:rsidP="00A76E9D">
      <w:pPr>
        <w:jc w:val="both"/>
        <w:rPr>
          <w:rFonts w:ascii="Arial" w:hAnsi="Arial" w:cs="Arial"/>
        </w:rPr>
      </w:pPr>
    </w:p>
    <w:p w:rsidR="00A76E9D" w:rsidRDefault="00A76E9D" w:rsidP="00A76E9D">
      <w:pPr>
        <w:pStyle w:val="BodyTextGrey"/>
        <w:spacing w:after="0" w:line="240" w:lineRule="auto"/>
        <w:jc w:val="both"/>
        <w:rPr>
          <w:color w:val="auto"/>
          <w:sz w:val="24"/>
          <w:szCs w:val="24"/>
        </w:rPr>
      </w:pPr>
      <w:r w:rsidRPr="00C75D13">
        <w:rPr>
          <w:color w:val="auto"/>
          <w:sz w:val="24"/>
          <w:szCs w:val="24"/>
        </w:rPr>
        <w:t>The Panel recognises that social, environmental and ethical considerations</w:t>
      </w:r>
      <w:r>
        <w:rPr>
          <w:color w:val="auto"/>
          <w:sz w:val="24"/>
          <w:szCs w:val="24"/>
        </w:rPr>
        <w:t xml:space="preserve"> (SEE)</w:t>
      </w:r>
      <w:r w:rsidRPr="00C75D13">
        <w:rPr>
          <w:color w:val="auto"/>
          <w:sz w:val="24"/>
          <w:szCs w:val="24"/>
        </w:rPr>
        <w:t xml:space="preserve"> are among the factors which investment managers will take into account, where relevant, when selecting investments for purchase, retention or sale.</w:t>
      </w:r>
      <w:r w:rsidRPr="00E9253D">
        <w:t xml:space="preserve"> </w:t>
      </w:r>
      <w:r w:rsidRPr="00E9253D">
        <w:rPr>
          <w:color w:val="auto"/>
          <w:sz w:val="24"/>
          <w:szCs w:val="24"/>
        </w:rPr>
        <w:t xml:space="preserve">In addition, the </w:t>
      </w:r>
      <w:r>
        <w:rPr>
          <w:color w:val="auto"/>
          <w:sz w:val="24"/>
          <w:szCs w:val="24"/>
        </w:rPr>
        <w:t xml:space="preserve">Panel </w:t>
      </w:r>
      <w:r w:rsidRPr="00E9253D">
        <w:rPr>
          <w:color w:val="auto"/>
          <w:sz w:val="24"/>
          <w:szCs w:val="24"/>
        </w:rPr>
        <w:t xml:space="preserve">undertakes training on a regular basis and this will include training and information sessions on matters of social, environmental and corporate governance. </w:t>
      </w:r>
      <w:r w:rsidRPr="00C75D13">
        <w:rPr>
          <w:color w:val="auto"/>
          <w:sz w:val="24"/>
          <w:szCs w:val="24"/>
        </w:rPr>
        <w:t xml:space="preserve"> </w:t>
      </w:r>
    </w:p>
    <w:p w:rsidR="00A76E9D" w:rsidRDefault="00A76E9D" w:rsidP="00A76E9D">
      <w:pPr>
        <w:pStyle w:val="BodyTextGrey"/>
        <w:spacing w:after="0" w:line="240" w:lineRule="auto"/>
        <w:jc w:val="both"/>
        <w:rPr>
          <w:color w:val="auto"/>
          <w:sz w:val="24"/>
          <w:szCs w:val="24"/>
        </w:rPr>
      </w:pPr>
    </w:p>
    <w:p w:rsidR="00A76E9D" w:rsidRPr="002F6C74" w:rsidRDefault="00A76E9D" w:rsidP="00A76E9D">
      <w:pPr>
        <w:jc w:val="both"/>
        <w:rPr>
          <w:rFonts w:ascii="Arial" w:hAnsi="Arial" w:cs="Arial"/>
        </w:rPr>
      </w:pPr>
      <w:r w:rsidRPr="002F6C74">
        <w:rPr>
          <w:rFonts w:ascii="Arial" w:hAnsi="Arial" w:cs="Arial"/>
        </w:rPr>
        <w:t>The Fund requires its investment managers to integrate all material financial factors, including corporate governance, environmental, social, and ethical considerations, into the decision-making process for all fund investments. It expects its managers to follow good practice and use their influence as major institutional investors and long-term stewards of capital to promote good practice in the investee companies and markets to which the Fund is exposed.</w:t>
      </w:r>
    </w:p>
    <w:p w:rsidR="00A76E9D" w:rsidRDefault="00A76E9D" w:rsidP="00A76E9D">
      <w:pPr>
        <w:pStyle w:val="BodyTextGrey"/>
        <w:spacing w:after="0" w:line="240" w:lineRule="auto"/>
        <w:jc w:val="both"/>
        <w:rPr>
          <w:color w:val="auto"/>
          <w:sz w:val="24"/>
          <w:szCs w:val="24"/>
        </w:rPr>
      </w:pPr>
    </w:p>
    <w:p w:rsidR="00A76E9D" w:rsidRPr="002F6C74" w:rsidRDefault="00A76E9D" w:rsidP="00A76E9D">
      <w:pPr>
        <w:pStyle w:val="Default"/>
        <w:jc w:val="both"/>
        <w:rPr>
          <w:color w:val="auto"/>
        </w:rPr>
      </w:pPr>
      <w:r w:rsidRPr="002F6C74">
        <w:rPr>
          <w:color w:val="auto"/>
        </w:rPr>
        <w:t xml:space="preserve">The Fund expects its external investment managers (and specifically the London </w:t>
      </w:r>
      <w:r>
        <w:rPr>
          <w:color w:val="auto"/>
        </w:rPr>
        <w:t>CIV</w:t>
      </w:r>
      <w:r w:rsidRPr="002F6C74">
        <w:rPr>
          <w:color w:val="auto"/>
        </w:rPr>
        <w:t xml:space="preserve"> through which the Fund will increasingly invest) to undertake appropriate monitoring of current investments regarding their policies and practices on all issues which could present a material financial risk to the long-term performance of the fund such as corporate governance and environmental factors. The Fund expects its fund managers to integrate material ESG factors within its investment analysis and decision making. </w:t>
      </w:r>
    </w:p>
    <w:p w:rsidR="00A76E9D" w:rsidRPr="002F6C74" w:rsidRDefault="00A76E9D" w:rsidP="00A76E9D">
      <w:pPr>
        <w:pStyle w:val="Default"/>
        <w:rPr>
          <w:rFonts w:cstheme="minorBidi"/>
          <w:color w:val="auto"/>
        </w:rPr>
      </w:pPr>
    </w:p>
    <w:p w:rsidR="00A76E9D" w:rsidRDefault="00A76E9D" w:rsidP="00A76E9D">
      <w:pPr>
        <w:pStyle w:val="Default"/>
        <w:jc w:val="both"/>
        <w:rPr>
          <w:color w:val="auto"/>
        </w:rPr>
      </w:pPr>
      <w:r w:rsidRPr="002F6C74">
        <w:rPr>
          <w:color w:val="auto"/>
        </w:rPr>
        <w:t xml:space="preserve">Effective monitoring and identification of these issues can enable engagement with boards and management of investee companies to seek resolution of potential problems at an early stage. Where collaboration is likely to be the most effective mechanism for encouraging issues to be addressed, the Fund expects its investment managers to participate in joint action with other institutional investors as permitted by relevant legal and regulatory codes. </w:t>
      </w:r>
    </w:p>
    <w:p w:rsidR="00A76E9D" w:rsidRPr="002F6C74" w:rsidRDefault="00A76E9D" w:rsidP="00A76E9D">
      <w:pPr>
        <w:pStyle w:val="Default"/>
        <w:jc w:val="both"/>
        <w:rPr>
          <w:color w:val="auto"/>
        </w:rPr>
      </w:pPr>
    </w:p>
    <w:p w:rsidR="00A76E9D" w:rsidRPr="002F6C74" w:rsidRDefault="00A76E9D" w:rsidP="00A76E9D">
      <w:pPr>
        <w:pStyle w:val="Default"/>
        <w:jc w:val="both"/>
        <w:rPr>
          <w:color w:val="auto"/>
        </w:rPr>
      </w:pPr>
      <w:r w:rsidRPr="002F6C74">
        <w:rPr>
          <w:color w:val="auto"/>
        </w:rPr>
        <w:t xml:space="preserve">The Fund will invest on the basis of financial risk and return having considered a range of factors contributing to the financial risk including social, environment </w:t>
      </w:r>
      <w:r>
        <w:rPr>
          <w:color w:val="auto"/>
        </w:rPr>
        <w:t>&amp;</w:t>
      </w:r>
      <w:r w:rsidRPr="002F6C74">
        <w:rPr>
          <w:color w:val="auto"/>
        </w:rPr>
        <w:t xml:space="preserve"> governance factors to the extent these directly or indirectly impact on financial risk and return. </w:t>
      </w:r>
    </w:p>
    <w:p w:rsidR="00A76E9D" w:rsidRPr="002F6C74" w:rsidRDefault="00A76E9D" w:rsidP="00A76E9D">
      <w:pPr>
        <w:pStyle w:val="Default"/>
        <w:jc w:val="both"/>
        <w:rPr>
          <w:color w:val="auto"/>
        </w:rPr>
      </w:pPr>
    </w:p>
    <w:p w:rsidR="00A76E9D" w:rsidRPr="002F6C74" w:rsidRDefault="00A76E9D" w:rsidP="00A76E9D">
      <w:pPr>
        <w:pStyle w:val="Default"/>
        <w:jc w:val="both"/>
        <w:rPr>
          <w:color w:val="auto"/>
        </w:rPr>
      </w:pPr>
      <w:r w:rsidRPr="002F6C74">
        <w:rPr>
          <w:color w:val="auto"/>
        </w:rPr>
        <w:t>The Fund</w:t>
      </w:r>
      <w:r>
        <w:rPr>
          <w:color w:val="auto"/>
        </w:rPr>
        <w:t>,</w:t>
      </w:r>
      <w:r w:rsidRPr="002F6C74">
        <w:rPr>
          <w:color w:val="auto"/>
        </w:rPr>
        <w:t xml:space="preserve"> in preparing and reviewing its </w:t>
      </w:r>
      <w:r>
        <w:rPr>
          <w:color w:val="auto"/>
        </w:rPr>
        <w:t>ISS</w:t>
      </w:r>
      <w:r w:rsidRPr="002F6C74">
        <w:rPr>
          <w:color w:val="auto"/>
        </w:rPr>
        <w:t xml:space="preserve"> will consult with interested stakeholders including, but not limited to Fund employers, investment managers, Local Pension Board, advisers to the Fund and other parties that it deems appropriate to consult with. </w:t>
      </w:r>
    </w:p>
    <w:p w:rsidR="00A76E9D" w:rsidRPr="00C75D13" w:rsidRDefault="00A76E9D" w:rsidP="00A76E9D">
      <w:pPr>
        <w:pStyle w:val="BodyTextGrey"/>
        <w:spacing w:after="0" w:line="240" w:lineRule="auto"/>
        <w:jc w:val="both"/>
        <w:rPr>
          <w:color w:val="auto"/>
          <w:sz w:val="24"/>
          <w:szCs w:val="24"/>
        </w:rPr>
      </w:pPr>
    </w:p>
    <w:p w:rsidR="00A76E9D" w:rsidRPr="00E9253D" w:rsidRDefault="00A76E9D" w:rsidP="00A76E9D">
      <w:pPr>
        <w:autoSpaceDE w:val="0"/>
        <w:autoSpaceDN w:val="0"/>
        <w:adjustRightInd w:val="0"/>
        <w:jc w:val="both"/>
        <w:rPr>
          <w:rFonts w:ascii="Arial" w:hAnsi="Arial" w:cs="Arial"/>
          <w:u w:val="single"/>
        </w:rPr>
      </w:pPr>
      <w:r w:rsidRPr="00E9253D">
        <w:rPr>
          <w:rFonts w:ascii="Arial" w:hAnsi="Arial" w:cs="Arial"/>
          <w:u w:val="single"/>
        </w:rPr>
        <w:t>Current Restrictions:</w:t>
      </w:r>
    </w:p>
    <w:p w:rsidR="00A76E9D" w:rsidRDefault="00A76E9D" w:rsidP="00A76E9D">
      <w:pPr>
        <w:autoSpaceDE w:val="0"/>
        <w:autoSpaceDN w:val="0"/>
        <w:adjustRightInd w:val="0"/>
        <w:jc w:val="both"/>
        <w:rPr>
          <w:rFonts w:ascii="Arial" w:hAnsi="Arial" w:cs="Arial"/>
        </w:rPr>
      </w:pPr>
    </w:p>
    <w:p w:rsidR="00A76E9D" w:rsidRDefault="00A76E9D" w:rsidP="00A76E9D">
      <w:pPr>
        <w:autoSpaceDE w:val="0"/>
        <w:autoSpaceDN w:val="0"/>
        <w:adjustRightInd w:val="0"/>
        <w:jc w:val="both"/>
        <w:rPr>
          <w:rFonts w:ascii="Arial" w:hAnsi="Arial" w:cs="Arial"/>
        </w:rPr>
      </w:pPr>
      <w:r w:rsidRPr="00C75D13">
        <w:rPr>
          <w:rFonts w:ascii="Arial" w:hAnsi="Arial" w:cs="Arial"/>
        </w:rPr>
        <w:t>At the 12 March 2014 Panel Meeting, Members agreed a policy to restrict direct investment in tobacco but allow indirect investments in tobacco through pooled funds</w:t>
      </w:r>
      <w:r>
        <w:rPr>
          <w:rFonts w:ascii="Arial" w:hAnsi="Arial" w:cs="Arial"/>
        </w:rPr>
        <w:t xml:space="preserve"> for both passive and active managers</w:t>
      </w:r>
      <w:r w:rsidRPr="00C75D13">
        <w:rPr>
          <w:rFonts w:ascii="Arial" w:hAnsi="Arial" w:cs="Arial"/>
        </w:rPr>
        <w:t>.</w:t>
      </w:r>
      <w:r>
        <w:rPr>
          <w:rFonts w:ascii="Arial" w:hAnsi="Arial" w:cs="Arial"/>
        </w:rPr>
        <w:t xml:space="preserve"> This restriction will be reviewed as part of each Investment Strategy Review.</w:t>
      </w:r>
    </w:p>
    <w:p w:rsidR="00A76E9D" w:rsidRPr="003B1862" w:rsidRDefault="00A76E9D" w:rsidP="00A76E9D">
      <w:pPr>
        <w:pStyle w:val="Heading2"/>
        <w:jc w:val="both"/>
        <w:rPr>
          <w:rFonts w:ascii="Arial" w:hAnsi="Arial" w:cs="Arial"/>
          <w:b w:val="0"/>
          <w:szCs w:val="24"/>
        </w:rPr>
      </w:pPr>
      <w:r w:rsidRPr="003B1862">
        <w:rPr>
          <w:rFonts w:ascii="Arial" w:hAnsi="Arial" w:cs="Arial"/>
          <w:szCs w:val="24"/>
        </w:rPr>
        <w:lastRenderedPageBreak/>
        <w:t xml:space="preserve">Exercise of Voting Rights </w:t>
      </w:r>
      <w:r w:rsidRPr="003B1862">
        <w:rPr>
          <w:rFonts w:ascii="Arial" w:hAnsi="Arial" w:cs="Arial"/>
          <w:b w:val="0"/>
          <w:szCs w:val="24"/>
        </w:rPr>
        <w:t>(</w:t>
      </w:r>
      <w:r w:rsidRPr="003B1862">
        <w:rPr>
          <w:rFonts w:ascii="Arial" w:hAnsi="Arial" w:cs="Arial"/>
          <w:b w:val="0"/>
          <w:bCs/>
          <w:szCs w:val="24"/>
        </w:rPr>
        <w:t>Regulation 7(2)(f) - The exercise of rights (including voting rights) attaching to investments)</w:t>
      </w:r>
    </w:p>
    <w:p w:rsidR="00A76E9D" w:rsidRPr="003B1862" w:rsidRDefault="00A76E9D" w:rsidP="00A76E9D">
      <w:pPr>
        <w:rPr>
          <w:lang w:eastAsia="en-US"/>
        </w:rPr>
      </w:pPr>
    </w:p>
    <w:p w:rsidR="00A76E9D" w:rsidRPr="003B1862" w:rsidRDefault="00A76E9D" w:rsidP="00A76E9D">
      <w:pPr>
        <w:autoSpaceDE w:val="0"/>
        <w:autoSpaceDN w:val="0"/>
        <w:adjustRightInd w:val="0"/>
        <w:jc w:val="both"/>
        <w:rPr>
          <w:rFonts w:ascii="Arial" w:hAnsi="Arial" w:cs="Arial"/>
          <w:bCs/>
        </w:rPr>
      </w:pPr>
      <w:r w:rsidRPr="003B1862">
        <w:rPr>
          <w:rFonts w:ascii="Arial" w:hAnsi="Arial" w:cs="Arial"/>
          <w:bCs/>
        </w:rPr>
        <w:t>The Fund recognises the importance of its role as stewards of capital and the need to ensure the highest standards of governance and promoting corporate responsibility in the underlying companies in which its investments reside. The Fund recognises that ultimately this protects the financial interests of the Fund and its ultimate beneficiaries. The Fund has a commitment to actively exercising the ownership rights attached to its investments reflecting the Fund’s conviction that responsible asset owners should maintain oversight of the companies in which it ultimately invests recognising that the companies’ activities impact upon not only their customers and clients, but more widely upon their employees and other stakeholders and wider society.</w:t>
      </w:r>
    </w:p>
    <w:p w:rsidR="00A76E9D" w:rsidRPr="003B1862" w:rsidRDefault="00A76E9D" w:rsidP="00A76E9D">
      <w:pPr>
        <w:rPr>
          <w:lang w:eastAsia="en-US"/>
        </w:rPr>
      </w:pPr>
    </w:p>
    <w:p w:rsidR="00A76E9D" w:rsidRPr="003B1862" w:rsidRDefault="00A76E9D" w:rsidP="00A76E9D">
      <w:pPr>
        <w:pStyle w:val="BodyTextGrey"/>
        <w:spacing w:after="0" w:line="240" w:lineRule="auto"/>
        <w:jc w:val="both"/>
        <w:rPr>
          <w:color w:val="auto"/>
          <w:sz w:val="24"/>
          <w:szCs w:val="24"/>
        </w:rPr>
      </w:pPr>
      <w:r w:rsidRPr="003B1862">
        <w:rPr>
          <w:color w:val="auto"/>
          <w:sz w:val="24"/>
          <w:szCs w:val="24"/>
        </w:rPr>
        <w:t xml:space="preserve">The Panel has delegated the exercise of voting rights to the investment manager(s) on the basis that voting power will be exercised by them with the objective of preserving and enhancing long term shareholder value. Accordingly, the manager(s) has produced written guidelines of its process and practice in this regard. The manager(s) is encouraged to vote in line with its guidelines in respect of all resolutions at annual and extraordinary general meetings of companies. </w:t>
      </w:r>
    </w:p>
    <w:p w:rsidR="00A76E9D" w:rsidRPr="003B1862" w:rsidRDefault="00A76E9D" w:rsidP="00A76E9D">
      <w:pPr>
        <w:pStyle w:val="BodyTextGrey"/>
        <w:spacing w:after="0" w:line="240" w:lineRule="auto"/>
        <w:jc w:val="both"/>
        <w:rPr>
          <w:color w:val="auto"/>
          <w:sz w:val="24"/>
          <w:szCs w:val="24"/>
        </w:rPr>
      </w:pPr>
    </w:p>
    <w:p w:rsidR="00A76E9D" w:rsidRPr="003B1862" w:rsidRDefault="00A76E9D" w:rsidP="00A76E9D">
      <w:pPr>
        <w:pStyle w:val="BodyTextGrey"/>
        <w:spacing w:after="0" w:line="240" w:lineRule="auto"/>
        <w:jc w:val="both"/>
        <w:rPr>
          <w:color w:val="auto"/>
          <w:sz w:val="24"/>
          <w:szCs w:val="24"/>
        </w:rPr>
      </w:pPr>
      <w:r w:rsidRPr="003B1862">
        <w:rPr>
          <w:color w:val="auto"/>
          <w:sz w:val="24"/>
          <w:szCs w:val="24"/>
        </w:rPr>
        <w:t>Investments through LCIV are covered by the voting policy of the CIV which has been agreed by the Pensions Sectoral Joint Committee. Voting is delegated to the external managers and monitored on a quarterly basis. The CIV will arrange for managers to vote in accordance with voting alerts issued by the Local Authority Pension Fund Forum</w:t>
      </w:r>
      <w:r>
        <w:rPr>
          <w:color w:val="auto"/>
          <w:sz w:val="24"/>
          <w:szCs w:val="24"/>
        </w:rPr>
        <w:t xml:space="preserve"> (LAPFF)</w:t>
      </w:r>
      <w:r w:rsidRPr="003B1862">
        <w:rPr>
          <w:color w:val="auto"/>
          <w:sz w:val="24"/>
          <w:szCs w:val="24"/>
        </w:rPr>
        <w:t xml:space="preserve"> as far as practically possible to do so and will hold managers to account where they have not voted in accordance with the LAPFF directions.</w:t>
      </w:r>
    </w:p>
    <w:p w:rsidR="00A76E9D" w:rsidRPr="003B1862" w:rsidRDefault="00A76E9D" w:rsidP="00A76E9D">
      <w:pPr>
        <w:pStyle w:val="BodyTextGrey"/>
        <w:spacing w:after="0" w:line="240" w:lineRule="auto"/>
        <w:jc w:val="both"/>
        <w:rPr>
          <w:b/>
          <w:color w:val="auto"/>
          <w:sz w:val="24"/>
          <w:szCs w:val="24"/>
        </w:rPr>
      </w:pPr>
    </w:p>
    <w:p w:rsidR="00A76E9D" w:rsidRPr="003B1862" w:rsidRDefault="00A76E9D" w:rsidP="00A76E9D">
      <w:pPr>
        <w:pStyle w:val="BodyTextGrey"/>
        <w:jc w:val="both"/>
        <w:rPr>
          <w:color w:val="auto"/>
          <w:sz w:val="24"/>
          <w:szCs w:val="24"/>
        </w:rPr>
      </w:pPr>
      <w:r w:rsidRPr="003B1862">
        <w:rPr>
          <w:color w:val="auto"/>
          <w:sz w:val="24"/>
          <w:szCs w:val="24"/>
        </w:rPr>
        <w:t>The Fund will incorporate a report of voting activity as part of its Pension Fund Annual report which is published on the Council and Pension Fund website:</w:t>
      </w:r>
    </w:p>
    <w:p w:rsidR="00A76E9D" w:rsidRPr="003B1862" w:rsidRDefault="00A76E9D" w:rsidP="00A76E9D">
      <w:pPr>
        <w:pStyle w:val="BodyTextGrey"/>
        <w:numPr>
          <w:ilvl w:val="0"/>
          <w:numId w:val="24"/>
        </w:numPr>
        <w:spacing w:after="0" w:line="252" w:lineRule="auto"/>
        <w:ind w:left="714" w:hanging="357"/>
        <w:jc w:val="both"/>
        <w:rPr>
          <w:color w:val="auto"/>
          <w:sz w:val="24"/>
          <w:szCs w:val="24"/>
        </w:rPr>
      </w:pPr>
      <w:r w:rsidRPr="003B1862">
        <w:rPr>
          <w:color w:val="auto"/>
          <w:sz w:val="24"/>
          <w:szCs w:val="24"/>
        </w:rPr>
        <w:t>The Fund has issued a Statement of Compliance with the Stewardship Code which can be found on the Council / Pension Fund website</w:t>
      </w:r>
      <w:r>
        <w:rPr>
          <w:color w:val="auto"/>
          <w:sz w:val="24"/>
          <w:szCs w:val="24"/>
        </w:rPr>
        <w:t xml:space="preserve"> </w:t>
      </w:r>
      <w:r w:rsidRPr="00B06A1E">
        <w:rPr>
          <w:color w:val="auto"/>
          <w:sz w:val="24"/>
          <w:szCs w:val="24"/>
        </w:rPr>
        <w:t>and has also agreed to b</w:t>
      </w:r>
      <w:r>
        <w:rPr>
          <w:color w:val="auto"/>
          <w:sz w:val="24"/>
          <w:szCs w:val="24"/>
        </w:rPr>
        <w:t>ecome a signatory to the Code</w:t>
      </w:r>
      <w:r w:rsidRPr="00B06A1E">
        <w:rPr>
          <w:color w:val="auto"/>
          <w:sz w:val="24"/>
          <w:szCs w:val="24"/>
        </w:rPr>
        <w:t>.</w:t>
      </w:r>
    </w:p>
    <w:p w:rsidR="00A76E9D" w:rsidRPr="003B1862" w:rsidRDefault="00A76E9D" w:rsidP="00A76E9D">
      <w:pPr>
        <w:pStyle w:val="BodyTextGrey"/>
        <w:numPr>
          <w:ilvl w:val="0"/>
          <w:numId w:val="24"/>
        </w:numPr>
        <w:spacing w:after="0" w:line="252" w:lineRule="auto"/>
        <w:ind w:left="714" w:hanging="357"/>
        <w:jc w:val="both"/>
        <w:rPr>
          <w:color w:val="auto"/>
          <w:sz w:val="24"/>
          <w:szCs w:val="24"/>
        </w:rPr>
      </w:pPr>
      <w:r w:rsidRPr="003B1862">
        <w:rPr>
          <w:color w:val="auto"/>
          <w:sz w:val="24"/>
          <w:szCs w:val="24"/>
        </w:rPr>
        <w:t>The Fund has reviewed the London CIV Statement of Compliance with the Stewardship Code and has agreed to adopt this Statement.</w:t>
      </w:r>
    </w:p>
    <w:p w:rsidR="00A76E9D" w:rsidRPr="003B1862" w:rsidRDefault="00A76E9D" w:rsidP="00A76E9D">
      <w:pPr>
        <w:pStyle w:val="BodyTextGrey"/>
        <w:spacing w:after="0" w:line="240" w:lineRule="auto"/>
        <w:jc w:val="both"/>
        <w:rPr>
          <w:color w:val="auto"/>
          <w:sz w:val="24"/>
          <w:szCs w:val="24"/>
        </w:rPr>
      </w:pPr>
    </w:p>
    <w:p w:rsidR="00A76E9D" w:rsidRDefault="00A76E9D" w:rsidP="00A76E9D">
      <w:pPr>
        <w:jc w:val="both"/>
        <w:rPr>
          <w:rFonts w:ascii="Arial" w:hAnsi="Arial" w:cs="Arial"/>
        </w:rPr>
      </w:pPr>
      <w:r w:rsidRPr="003B1862">
        <w:rPr>
          <w:rFonts w:ascii="Arial" w:hAnsi="Arial" w:cs="Arial"/>
        </w:rPr>
        <w:t xml:space="preserve">In addition, the Fund expects its investment managers to work collaboratively with others if this will lead to greater influence and deliver improved outcomes for shareholders and more broadly. </w:t>
      </w:r>
    </w:p>
    <w:p w:rsidR="00A76E9D" w:rsidRDefault="00A76E9D" w:rsidP="00A76E9D">
      <w:pPr>
        <w:jc w:val="both"/>
        <w:rPr>
          <w:rFonts w:ascii="Arial" w:hAnsi="Arial" w:cs="Arial"/>
        </w:rPr>
      </w:pPr>
    </w:p>
    <w:p w:rsidR="00A76E9D" w:rsidRPr="003B1862" w:rsidRDefault="00A76E9D" w:rsidP="00A76E9D">
      <w:pPr>
        <w:jc w:val="both"/>
        <w:rPr>
          <w:rFonts w:ascii="Arial" w:hAnsi="Arial" w:cs="Arial"/>
          <w:color w:val="000000" w:themeColor="text1"/>
        </w:rPr>
      </w:pPr>
      <w:r w:rsidRPr="003B1862">
        <w:rPr>
          <w:rFonts w:ascii="Arial" w:hAnsi="Arial" w:cs="Arial"/>
        </w:rPr>
        <w:t>The Fund, through its participation in the London CIV, will work closely with other LGPS Funds in London to enhance the level of engagement both with external managers and the underlying companies in which invests</w:t>
      </w:r>
      <w:r>
        <w:rPr>
          <w:rFonts w:ascii="Arial" w:hAnsi="Arial" w:cs="Arial"/>
        </w:rPr>
        <w:t xml:space="preserve">. </w:t>
      </w:r>
      <w:r w:rsidRPr="003B1862">
        <w:rPr>
          <w:rFonts w:ascii="Arial" w:hAnsi="Arial" w:cs="Arial"/>
          <w:color w:val="000000" w:themeColor="text1"/>
        </w:rPr>
        <w:t>In addition the Fund:</w:t>
      </w:r>
    </w:p>
    <w:p w:rsidR="00A76E9D" w:rsidRPr="003B1862" w:rsidRDefault="00A76E9D" w:rsidP="00A76E9D">
      <w:pPr>
        <w:autoSpaceDE w:val="0"/>
        <w:autoSpaceDN w:val="0"/>
        <w:adjustRightInd w:val="0"/>
        <w:jc w:val="both"/>
        <w:rPr>
          <w:rFonts w:ascii="Arial" w:hAnsi="Arial" w:cs="Arial"/>
          <w:bCs/>
          <w:color w:val="000000" w:themeColor="text1"/>
        </w:rPr>
      </w:pPr>
    </w:p>
    <w:p w:rsidR="00A76E9D" w:rsidRPr="003B1862" w:rsidRDefault="00A76E9D" w:rsidP="00A76E9D">
      <w:pPr>
        <w:pStyle w:val="ListParagraph"/>
        <w:numPr>
          <w:ilvl w:val="0"/>
          <w:numId w:val="25"/>
        </w:numPr>
        <w:jc w:val="both"/>
        <w:rPr>
          <w:rFonts w:ascii="Arial" w:hAnsi="Arial" w:cs="Arial"/>
          <w:color w:val="000000" w:themeColor="text1"/>
          <w:sz w:val="24"/>
          <w:szCs w:val="24"/>
        </w:rPr>
      </w:pPr>
      <w:r w:rsidRPr="003B1862">
        <w:rPr>
          <w:rFonts w:ascii="Arial" w:hAnsi="Arial" w:cs="Arial"/>
          <w:color w:val="000000" w:themeColor="text1"/>
          <w:sz w:val="24"/>
          <w:szCs w:val="24"/>
        </w:rPr>
        <w:t>is a member of the LAPFF and in this way joins with other LGPS Funds to magnify its voice and maximise the influence of investors as asset owners</w:t>
      </w:r>
    </w:p>
    <w:p w:rsidR="00A76E9D" w:rsidRPr="003B1862" w:rsidRDefault="00A76E9D" w:rsidP="00A76E9D">
      <w:pPr>
        <w:pStyle w:val="ListParagraph"/>
        <w:numPr>
          <w:ilvl w:val="0"/>
          <w:numId w:val="25"/>
        </w:numPr>
        <w:jc w:val="both"/>
        <w:rPr>
          <w:rFonts w:ascii="Arial" w:hAnsi="Arial" w:cs="Arial"/>
          <w:color w:val="000000" w:themeColor="text1"/>
          <w:sz w:val="24"/>
          <w:szCs w:val="24"/>
        </w:rPr>
      </w:pPr>
      <w:r w:rsidRPr="003B1862">
        <w:rPr>
          <w:rFonts w:ascii="Arial" w:hAnsi="Arial" w:cs="Arial"/>
          <w:color w:val="000000" w:themeColor="text1"/>
          <w:sz w:val="24"/>
          <w:szCs w:val="24"/>
        </w:rPr>
        <w:t>gives support to shareholder resolutions where these reflect concerns which are shared and represent the Fund interest</w:t>
      </w:r>
    </w:p>
    <w:p w:rsidR="00A76E9D" w:rsidRPr="003B1862" w:rsidRDefault="00A76E9D" w:rsidP="00A76E9D">
      <w:pPr>
        <w:pStyle w:val="ListParagraph"/>
        <w:numPr>
          <w:ilvl w:val="0"/>
          <w:numId w:val="25"/>
        </w:numPr>
        <w:jc w:val="both"/>
        <w:rPr>
          <w:rFonts w:ascii="Arial" w:hAnsi="Arial" w:cs="Arial"/>
          <w:color w:val="000000" w:themeColor="text1"/>
          <w:sz w:val="24"/>
          <w:szCs w:val="24"/>
        </w:rPr>
      </w:pPr>
      <w:r w:rsidRPr="003B1862">
        <w:rPr>
          <w:rFonts w:ascii="Arial" w:hAnsi="Arial" w:cs="Arial"/>
          <w:color w:val="000000" w:themeColor="text1"/>
          <w:sz w:val="24"/>
          <w:szCs w:val="24"/>
        </w:rPr>
        <w:t xml:space="preserve">joins wider lobbying activities where appropriate opportunities arise. </w:t>
      </w:r>
    </w:p>
    <w:p w:rsidR="00A76E9D" w:rsidRPr="003B1862" w:rsidRDefault="00A76E9D" w:rsidP="00A76E9D">
      <w:pPr>
        <w:pStyle w:val="Heading2"/>
        <w:jc w:val="both"/>
        <w:rPr>
          <w:rFonts w:ascii="Arial" w:hAnsi="Arial" w:cs="Arial"/>
          <w:szCs w:val="24"/>
        </w:rPr>
      </w:pPr>
      <w:r w:rsidRPr="003B1862">
        <w:rPr>
          <w:rFonts w:ascii="Arial" w:hAnsi="Arial" w:cs="Arial"/>
          <w:szCs w:val="24"/>
        </w:rPr>
        <w:lastRenderedPageBreak/>
        <w:t>Stock Lending</w:t>
      </w:r>
    </w:p>
    <w:p w:rsidR="00A76E9D" w:rsidRPr="00DF6F04" w:rsidRDefault="00A76E9D" w:rsidP="00A76E9D"/>
    <w:p w:rsidR="00A76E9D" w:rsidRPr="00DF6F04" w:rsidRDefault="00A76E9D" w:rsidP="00A76E9D">
      <w:pPr>
        <w:pStyle w:val="BodyTextGrey"/>
        <w:spacing w:after="0" w:line="240" w:lineRule="auto"/>
        <w:jc w:val="both"/>
        <w:rPr>
          <w:color w:val="auto"/>
          <w:sz w:val="24"/>
          <w:szCs w:val="24"/>
        </w:rPr>
      </w:pPr>
      <w:r w:rsidRPr="00DF6F04">
        <w:rPr>
          <w:color w:val="auto"/>
          <w:sz w:val="24"/>
          <w:szCs w:val="24"/>
        </w:rPr>
        <w:t xml:space="preserve">The policy on stock lending reflects the nature of the mandates awarded to investment managers by the Panel, which include both pooled and segregated mandates. </w:t>
      </w:r>
    </w:p>
    <w:p w:rsidR="00A76E9D" w:rsidRPr="00DF6F04" w:rsidRDefault="00A76E9D" w:rsidP="00A76E9D">
      <w:pPr>
        <w:pStyle w:val="BodyTextGrey"/>
        <w:spacing w:after="0" w:line="240" w:lineRule="auto"/>
        <w:jc w:val="both"/>
        <w:rPr>
          <w:b/>
          <w:color w:val="auto"/>
          <w:sz w:val="24"/>
          <w:szCs w:val="24"/>
        </w:rPr>
      </w:pPr>
    </w:p>
    <w:p w:rsidR="00A76E9D" w:rsidRPr="00DF6F04" w:rsidRDefault="00A76E9D" w:rsidP="00A76E9D">
      <w:pPr>
        <w:pStyle w:val="BodyTextGrey"/>
        <w:spacing w:after="0" w:line="240" w:lineRule="auto"/>
        <w:jc w:val="both"/>
        <w:rPr>
          <w:color w:val="auto"/>
          <w:sz w:val="24"/>
          <w:szCs w:val="24"/>
        </w:rPr>
      </w:pPr>
      <w:r w:rsidRPr="00DF6F04">
        <w:rPr>
          <w:color w:val="auto"/>
          <w:sz w:val="24"/>
          <w:szCs w:val="24"/>
        </w:rPr>
        <w:t>The Panel has considered its approach to stock lending, taking advice from its investment adviser</w:t>
      </w:r>
      <w:r>
        <w:rPr>
          <w:color w:val="auto"/>
          <w:sz w:val="24"/>
          <w:szCs w:val="24"/>
        </w:rPr>
        <w:t>s</w:t>
      </w:r>
      <w:r w:rsidRPr="00DF6F04">
        <w:rPr>
          <w:color w:val="auto"/>
          <w:sz w:val="24"/>
          <w:szCs w:val="24"/>
        </w:rPr>
        <w:t>. After consideration of that advice, the Panel has given authority to its custodian to lend stocks (principally equities) within its mandates subject to agreed collateral being provided and an overall restriction that the proportion of Fund assets that are available to be lent at any time is limited to 25% of Fund assets.</w:t>
      </w:r>
    </w:p>
    <w:p w:rsidR="00A76E9D" w:rsidRPr="00DF6F04" w:rsidRDefault="00A76E9D" w:rsidP="00A76E9D">
      <w:pPr>
        <w:pStyle w:val="BodyTextGrey"/>
        <w:spacing w:after="0" w:line="240" w:lineRule="auto"/>
        <w:jc w:val="both"/>
        <w:rPr>
          <w:color w:val="auto"/>
          <w:sz w:val="24"/>
          <w:szCs w:val="24"/>
        </w:rPr>
      </w:pPr>
    </w:p>
    <w:p w:rsidR="00A76E9D" w:rsidRPr="00DF6F04" w:rsidRDefault="00A76E9D" w:rsidP="00A76E9D">
      <w:pPr>
        <w:pStyle w:val="BodyTextGrey"/>
        <w:spacing w:after="0" w:line="240" w:lineRule="auto"/>
        <w:jc w:val="both"/>
        <w:rPr>
          <w:color w:val="auto"/>
          <w:sz w:val="24"/>
          <w:szCs w:val="24"/>
        </w:rPr>
      </w:pPr>
      <w:r w:rsidRPr="00DF6F04">
        <w:rPr>
          <w:color w:val="auto"/>
          <w:sz w:val="24"/>
          <w:szCs w:val="24"/>
        </w:rPr>
        <w:t>Stock lending does not prevent any investments from being sold. Safeguards are in place to reduce the risk of financial loss to the Fund in the event of default. These safeguards include receiving liquid collateral in excess of the value of the loan, indemnity agreement with the lending agent and regular reviews of credit-worthiness of potential borrowers.</w:t>
      </w:r>
      <w:r>
        <w:rPr>
          <w:color w:val="auto"/>
          <w:sz w:val="24"/>
          <w:szCs w:val="24"/>
        </w:rPr>
        <w:t xml:space="preserve"> </w:t>
      </w:r>
      <w:r w:rsidRPr="00DF6F04">
        <w:rPr>
          <w:color w:val="auto"/>
          <w:sz w:val="24"/>
          <w:szCs w:val="24"/>
        </w:rPr>
        <w:t xml:space="preserve">The Panel reviews its policy on stock lending (including the amount and type of collateral used) on a regular basis. </w:t>
      </w:r>
    </w:p>
    <w:p w:rsidR="00A76E9D" w:rsidRPr="00DF6F04" w:rsidRDefault="00A76E9D" w:rsidP="00A76E9D">
      <w:pPr>
        <w:pStyle w:val="BodyTextGrey"/>
        <w:spacing w:after="0" w:line="240" w:lineRule="auto"/>
        <w:jc w:val="both"/>
        <w:rPr>
          <w:color w:val="auto"/>
          <w:sz w:val="24"/>
          <w:szCs w:val="24"/>
        </w:rPr>
      </w:pPr>
    </w:p>
    <w:p w:rsidR="00A76E9D" w:rsidRPr="00DF6F04" w:rsidRDefault="00A76E9D" w:rsidP="00A76E9D">
      <w:pPr>
        <w:pStyle w:val="Heading2"/>
        <w:jc w:val="both"/>
        <w:rPr>
          <w:rFonts w:ascii="Arial" w:hAnsi="Arial" w:cs="Arial"/>
          <w:szCs w:val="24"/>
        </w:rPr>
      </w:pPr>
      <w:r w:rsidRPr="00DF6F04">
        <w:rPr>
          <w:rFonts w:ascii="Arial" w:hAnsi="Arial" w:cs="Arial"/>
          <w:color w:val="000000" w:themeColor="text1"/>
          <w:szCs w:val="24"/>
        </w:rPr>
        <w:t>Safekeeping of Assets</w:t>
      </w:r>
    </w:p>
    <w:p w:rsidR="00A76E9D" w:rsidRPr="00DF6F04" w:rsidRDefault="00A76E9D" w:rsidP="00A76E9D">
      <w:pPr>
        <w:pStyle w:val="BodyTextGrey"/>
        <w:spacing w:after="0" w:line="240" w:lineRule="auto"/>
        <w:jc w:val="both"/>
        <w:rPr>
          <w:b/>
          <w:i/>
          <w:color w:val="000000" w:themeColor="text1"/>
          <w:sz w:val="24"/>
          <w:szCs w:val="24"/>
        </w:rPr>
      </w:pPr>
    </w:p>
    <w:p w:rsidR="00A76E9D" w:rsidRPr="00DF6F04" w:rsidRDefault="00A76E9D" w:rsidP="00A76E9D">
      <w:pPr>
        <w:pStyle w:val="BodyTextGrey"/>
        <w:spacing w:after="0" w:line="240" w:lineRule="auto"/>
        <w:jc w:val="both"/>
        <w:rPr>
          <w:i/>
          <w:color w:val="000000" w:themeColor="text1"/>
          <w:sz w:val="24"/>
          <w:szCs w:val="24"/>
        </w:rPr>
      </w:pPr>
      <w:r w:rsidRPr="00DF6F04">
        <w:rPr>
          <w:color w:val="000000" w:themeColor="text1"/>
          <w:sz w:val="24"/>
          <w:szCs w:val="24"/>
        </w:rPr>
        <w:t>A global custodian is employed to ensure the safekeeping of investments</w:t>
      </w:r>
      <w:r w:rsidRPr="00DF6F04">
        <w:rPr>
          <w:i/>
          <w:color w:val="000000" w:themeColor="text1"/>
          <w:sz w:val="24"/>
          <w:szCs w:val="24"/>
        </w:rPr>
        <w:t xml:space="preserve">.  </w:t>
      </w:r>
    </w:p>
    <w:p w:rsidR="00A76E9D" w:rsidRPr="00DF6F04" w:rsidRDefault="00A76E9D" w:rsidP="00A76E9D">
      <w:pPr>
        <w:pStyle w:val="BodyTextGrey"/>
        <w:spacing w:after="0" w:line="240" w:lineRule="auto"/>
        <w:jc w:val="both"/>
        <w:rPr>
          <w:b/>
          <w:i/>
          <w:color w:val="000000" w:themeColor="text1"/>
          <w:sz w:val="24"/>
          <w:szCs w:val="24"/>
        </w:rPr>
      </w:pPr>
    </w:p>
    <w:p w:rsidR="00A76E9D" w:rsidRPr="00DF6F04" w:rsidRDefault="00A76E9D" w:rsidP="00A76E9D">
      <w:pPr>
        <w:pStyle w:val="Heading2"/>
        <w:jc w:val="both"/>
        <w:rPr>
          <w:rFonts w:ascii="Arial" w:hAnsi="Arial" w:cs="Arial"/>
          <w:szCs w:val="24"/>
        </w:rPr>
      </w:pPr>
      <w:r w:rsidRPr="00DF6F04">
        <w:rPr>
          <w:rFonts w:ascii="Arial" w:hAnsi="Arial" w:cs="Arial"/>
          <w:bCs/>
          <w:szCs w:val="24"/>
        </w:rPr>
        <w:t>Performance measurement</w:t>
      </w:r>
    </w:p>
    <w:p w:rsidR="00A76E9D" w:rsidRPr="00DF6F04" w:rsidRDefault="00A76E9D" w:rsidP="00A76E9D">
      <w:pPr>
        <w:pStyle w:val="Heading2"/>
        <w:numPr>
          <w:ilvl w:val="0"/>
          <w:numId w:val="0"/>
        </w:numPr>
        <w:ind w:left="360"/>
        <w:jc w:val="both"/>
        <w:rPr>
          <w:rFonts w:ascii="Arial" w:hAnsi="Arial" w:cs="Arial"/>
          <w:bCs/>
          <w:szCs w:val="24"/>
        </w:rPr>
      </w:pPr>
    </w:p>
    <w:p w:rsidR="00A76E9D" w:rsidRPr="00DF6F04" w:rsidRDefault="00A76E9D" w:rsidP="00A76E9D">
      <w:pPr>
        <w:pStyle w:val="Heading2"/>
        <w:numPr>
          <w:ilvl w:val="0"/>
          <w:numId w:val="0"/>
        </w:numPr>
        <w:jc w:val="both"/>
        <w:rPr>
          <w:rFonts w:ascii="Arial" w:hAnsi="Arial" w:cs="Arial"/>
          <w:b w:val="0"/>
          <w:szCs w:val="24"/>
        </w:rPr>
      </w:pPr>
      <w:r w:rsidRPr="00DF6F04">
        <w:rPr>
          <w:rFonts w:ascii="Arial" w:hAnsi="Arial" w:cs="Arial"/>
          <w:b w:val="0"/>
          <w:szCs w:val="24"/>
        </w:rPr>
        <w:t xml:space="preserve">An independent provider is employed to calculate performance for the Funds. Each quarter, the Panel considers the performance of the combined assets and each manager’s portfolio against their respective benchmark. The Panel review performance on an annual basis. </w:t>
      </w:r>
    </w:p>
    <w:p w:rsidR="00A76E9D" w:rsidRPr="00DF6F04" w:rsidRDefault="00A76E9D" w:rsidP="00A76E9D"/>
    <w:p w:rsidR="00A76E9D" w:rsidRPr="00DF6F04" w:rsidRDefault="00A76E9D" w:rsidP="00A76E9D">
      <w:pPr>
        <w:pStyle w:val="Heading2"/>
        <w:jc w:val="both"/>
        <w:rPr>
          <w:rFonts w:ascii="Arial" w:hAnsi="Arial" w:cs="Arial"/>
          <w:szCs w:val="24"/>
        </w:rPr>
      </w:pPr>
      <w:r w:rsidRPr="00DF6F04">
        <w:rPr>
          <w:rFonts w:ascii="Arial" w:hAnsi="Arial" w:cs="Arial"/>
          <w:color w:val="000000" w:themeColor="text1"/>
          <w:szCs w:val="24"/>
        </w:rPr>
        <w:t>Stewardship Code</w:t>
      </w:r>
    </w:p>
    <w:p w:rsidR="00A76E9D" w:rsidRPr="00DF6F04" w:rsidRDefault="00A76E9D" w:rsidP="00A76E9D">
      <w:pPr>
        <w:pStyle w:val="Heading2"/>
        <w:numPr>
          <w:ilvl w:val="0"/>
          <w:numId w:val="0"/>
        </w:numPr>
        <w:ind w:left="360"/>
        <w:jc w:val="both"/>
        <w:rPr>
          <w:rFonts w:ascii="Arial" w:hAnsi="Arial" w:cs="Arial"/>
          <w:color w:val="000000" w:themeColor="text1"/>
          <w:szCs w:val="24"/>
        </w:rPr>
      </w:pPr>
    </w:p>
    <w:p w:rsidR="00A76E9D" w:rsidRPr="00DF6F04" w:rsidRDefault="00A76E9D" w:rsidP="00A76E9D">
      <w:pPr>
        <w:pStyle w:val="Heading2"/>
        <w:numPr>
          <w:ilvl w:val="0"/>
          <w:numId w:val="0"/>
        </w:numPr>
        <w:jc w:val="both"/>
        <w:rPr>
          <w:rFonts w:ascii="Arial" w:hAnsi="Arial" w:cs="Arial"/>
          <w:b w:val="0"/>
          <w:color w:val="000000" w:themeColor="text1"/>
          <w:szCs w:val="24"/>
        </w:rPr>
      </w:pPr>
      <w:r w:rsidRPr="00DF6F04">
        <w:rPr>
          <w:rFonts w:ascii="Arial" w:hAnsi="Arial" w:cs="Arial"/>
          <w:b w:val="0"/>
          <w:color w:val="000000" w:themeColor="text1"/>
          <w:szCs w:val="24"/>
        </w:rPr>
        <w:t>The UK Stewardship Code</w:t>
      </w:r>
      <w:r>
        <w:rPr>
          <w:rFonts w:ascii="Arial" w:hAnsi="Arial" w:cs="Arial"/>
          <w:b w:val="0"/>
          <w:color w:val="000000" w:themeColor="text1"/>
          <w:szCs w:val="24"/>
        </w:rPr>
        <w:t xml:space="preserve"> (SC)</w:t>
      </w:r>
      <w:r w:rsidRPr="00DF6F04">
        <w:rPr>
          <w:rFonts w:ascii="Arial" w:hAnsi="Arial" w:cs="Arial"/>
          <w:b w:val="0"/>
          <w:color w:val="000000" w:themeColor="text1"/>
          <w:szCs w:val="24"/>
        </w:rPr>
        <w:t xml:space="preserve"> aims to enhance the quality of engagement between institutional investors and companies to help improve long-term returns to shareholders and the efficient exercise of governance responsibilities. The Code set</w:t>
      </w:r>
      <w:r>
        <w:rPr>
          <w:rFonts w:ascii="Arial" w:hAnsi="Arial" w:cs="Arial"/>
          <w:b w:val="0"/>
          <w:color w:val="000000" w:themeColor="text1"/>
          <w:szCs w:val="24"/>
        </w:rPr>
        <w:t>s</w:t>
      </w:r>
      <w:r w:rsidRPr="00DF6F04">
        <w:rPr>
          <w:rFonts w:ascii="Arial" w:hAnsi="Arial" w:cs="Arial"/>
          <w:b w:val="0"/>
          <w:color w:val="000000" w:themeColor="text1"/>
          <w:szCs w:val="24"/>
        </w:rPr>
        <w:t xml:space="preserve"> out good practice on engagement with investee companies to which the FRC believes institutional investors should aspire and operates on a 'comply or explain' basis. </w:t>
      </w:r>
      <w:r w:rsidRPr="00B27080">
        <w:rPr>
          <w:rFonts w:ascii="Arial" w:hAnsi="Arial" w:cs="Arial"/>
          <w:b w:val="0"/>
          <w:color w:val="000000" w:themeColor="text1"/>
          <w:szCs w:val="24"/>
        </w:rPr>
        <w:t>In accordance with the Statutory Guidance of September 2016 the Fund has determined that it should become a Signatory to the Code</w:t>
      </w:r>
      <w:r>
        <w:rPr>
          <w:rFonts w:ascii="Arial" w:hAnsi="Arial" w:cs="Arial"/>
          <w:b w:val="0"/>
          <w:color w:val="000000" w:themeColor="text1"/>
          <w:szCs w:val="24"/>
        </w:rPr>
        <w:t xml:space="preserve"> (see</w:t>
      </w:r>
      <w:r w:rsidRPr="00DF6F04">
        <w:rPr>
          <w:rFonts w:ascii="Arial" w:hAnsi="Arial" w:cs="Arial"/>
          <w:b w:val="0"/>
          <w:color w:val="000000" w:themeColor="text1"/>
          <w:szCs w:val="24"/>
        </w:rPr>
        <w:t xml:space="preserve"> Appendix </w:t>
      </w:r>
      <w:r>
        <w:rPr>
          <w:rFonts w:ascii="Arial" w:hAnsi="Arial" w:cs="Arial"/>
          <w:b w:val="0"/>
          <w:color w:val="000000" w:themeColor="text1"/>
          <w:szCs w:val="24"/>
        </w:rPr>
        <w:t>D)</w:t>
      </w:r>
      <w:r w:rsidRPr="00DF6F04">
        <w:rPr>
          <w:rFonts w:ascii="Arial" w:hAnsi="Arial" w:cs="Arial"/>
          <w:b w:val="0"/>
          <w:color w:val="000000" w:themeColor="text1"/>
          <w:szCs w:val="24"/>
        </w:rPr>
        <w:t>.</w:t>
      </w:r>
    </w:p>
    <w:p w:rsidR="00A76E9D" w:rsidRPr="00DF6F04" w:rsidRDefault="00A76E9D" w:rsidP="00A76E9D"/>
    <w:p w:rsidR="00A76E9D" w:rsidRPr="00DF6F04" w:rsidRDefault="00A76E9D" w:rsidP="00A76E9D">
      <w:pPr>
        <w:pStyle w:val="Heading2"/>
        <w:jc w:val="both"/>
        <w:rPr>
          <w:rFonts w:ascii="Arial" w:hAnsi="Arial" w:cs="Arial"/>
          <w:szCs w:val="24"/>
        </w:rPr>
      </w:pPr>
      <w:r w:rsidRPr="00DF6F04">
        <w:rPr>
          <w:rFonts w:ascii="Arial" w:hAnsi="Arial" w:cs="Arial"/>
          <w:szCs w:val="24"/>
        </w:rPr>
        <w:t>Additional Voluntary Contributions (AVCs)</w:t>
      </w:r>
    </w:p>
    <w:p w:rsidR="00A76E9D" w:rsidRPr="00DF6F04" w:rsidRDefault="00A76E9D" w:rsidP="00A76E9D">
      <w:pPr>
        <w:pStyle w:val="BodyTextGrey"/>
        <w:spacing w:after="0" w:line="240" w:lineRule="auto"/>
        <w:jc w:val="both"/>
        <w:rPr>
          <w:color w:val="auto"/>
          <w:sz w:val="24"/>
          <w:szCs w:val="24"/>
        </w:rPr>
      </w:pPr>
    </w:p>
    <w:p w:rsidR="00A76E9D" w:rsidRPr="00DF6F04" w:rsidRDefault="00A76E9D" w:rsidP="00A76E9D">
      <w:pPr>
        <w:pStyle w:val="BodyTextGrey"/>
        <w:spacing w:after="0" w:line="240" w:lineRule="auto"/>
        <w:jc w:val="both"/>
        <w:rPr>
          <w:b/>
          <w:color w:val="auto"/>
          <w:sz w:val="24"/>
          <w:szCs w:val="24"/>
        </w:rPr>
      </w:pPr>
      <w:r w:rsidRPr="00DF6F04">
        <w:rPr>
          <w:color w:val="auto"/>
          <w:sz w:val="24"/>
          <w:szCs w:val="24"/>
        </w:rPr>
        <w:t xml:space="preserve">The Panel gives members the opportunity to invest in a range of vehicles at the members' discretion.  Currently AVC is managed by Prudential Plc. </w:t>
      </w:r>
    </w:p>
    <w:p w:rsidR="00A76E9D" w:rsidRPr="003B1862" w:rsidRDefault="00A76E9D" w:rsidP="00A76E9D">
      <w:pPr>
        <w:pStyle w:val="BodyTextGrey"/>
        <w:spacing w:after="0" w:line="240" w:lineRule="auto"/>
        <w:jc w:val="both"/>
        <w:rPr>
          <w:b/>
          <w:color w:val="auto"/>
          <w:sz w:val="24"/>
          <w:szCs w:val="24"/>
        </w:rPr>
      </w:pPr>
    </w:p>
    <w:p w:rsidR="00A76E9D" w:rsidRPr="003B1862" w:rsidRDefault="00A76E9D" w:rsidP="00A76E9D">
      <w:pPr>
        <w:pStyle w:val="BodyTextGrey"/>
        <w:spacing w:after="0" w:line="240" w:lineRule="auto"/>
        <w:jc w:val="both"/>
        <w:rPr>
          <w:b/>
          <w:color w:val="auto"/>
          <w:sz w:val="24"/>
          <w:szCs w:val="24"/>
        </w:rPr>
      </w:pPr>
      <w:r w:rsidRPr="003B1862">
        <w:rPr>
          <w:b/>
          <w:color w:val="auto"/>
          <w:sz w:val="24"/>
          <w:szCs w:val="24"/>
        </w:rPr>
        <w:t xml:space="preserve">Signed For and on Behalf of the </w:t>
      </w:r>
      <w:r>
        <w:rPr>
          <w:b/>
          <w:color w:val="auto"/>
          <w:sz w:val="24"/>
          <w:szCs w:val="24"/>
        </w:rPr>
        <w:t>Fund</w:t>
      </w:r>
    </w:p>
    <w:p w:rsidR="00A76E9D" w:rsidRPr="00DF6F04" w:rsidRDefault="00A76E9D" w:rsidP="00A76E9D">
      <w:pPr>
        <w:pStyle w:val="BodyTextGrey"/>
        <w:spacing w:after="0" w:line="240" w:lineRule="auto"/>
        <w:jc w:val="both"/>
        <w:rPr>
          <w:color w:val="auto"/>
          <w:sz w:val="24"/>
          <w:szCs w:val="24"/>
        </w:rPr>
      </w:pPr>
    </w:p>
    <w:tbl>
      <w:tblPr>
        <w:tblW w:w="9371" w:type="dxa"/>
        <w:tblInd w:w="108" w:type="dxa"/>
        <w:tblLayout w:type="fixed"/>
        <w:tblLook w:val="0000" w:firstRow="0" w:lastRow="0" w:firstColumn="0" w:lastColumn="0" w:noHBand="0" w:noVBand="0"/>
      </w:tblPr>
      <w:tblGrid>
        <w:gridCol w:w="4402"/>
        <w:gridCol w:w="851"/>
        <w:gridCol w:w="4118"/>
      </w:tblGrid>
      <w:tr w:rsidR="00A76E9D" w:rsidRPr="00DF6F04" w:rsidTr="00007D43">
        <w:trPr>
          <w:trHeight w:val="279"/>
        </w:trPr>
        <w:tc>
          <w:tcPr>
            <w:tcW w:w="4402" w:type="dxa"/>
            <w:tcBorders>
              <w:bottom w:val="single" w:sz="4" w:space="0" w:color="auto"/>
            </w:tcBorders>
          </w:tcPr>
          <w:p w:rsidR="00A76E9D" w:rsidRDefault="00A76E9D" w:rsidP="00007D43">
            <w:pPr>
              <w:pStyle w:val="BodyTextGrey"/>
              <w:spacing w:after="0" w:line="240" w:lineRule="auto"/>
              <w:jc w:val="both"/>
              <w:rPr>
                <w:b/>
                <w:color w:val="auto"/>
                <w:sz w:val="24"/>
                <w:szCs w:val="24"/>
              </w:rPr>
            </w:pPr>
          </w:p>
          <w:p w:rsidR="00A76E9D" w:rsidRPr="00DF6F04" w:rsidRDefault="00A76E9D" w:rsidP="00007D43">
            <w:pPr>
              <w:pStyle w:val="BodyTextGrey"/>
              <w:spacing w:after="0" w:line="240" w:lineRule="auto"/>
              <w:jc w:val="both"/>
              <w:rPr>
                <w:b/>
                <w:color w:val="auto"/>
                <w:sz w:val="24"/>
                <w:szCs w:val="24"/>
              </w:rPr>
            </w:pPr>
          </w:p>
        </w:tc>
        <w:tc>
          <w:tcPr>
            <w:tcW w:w="851" w:type="dxa"/>
          </w:tcPr>
          <w:p w:rsidR="00A76E9D" w:rsidRPr="00DF6F04" w:rsidRDefault="00A76E9D" w:rsidP="00007D43">
            <w:pPr>
              <w:pStyle w:val="BodyTextGrey"/>
              <w:spacing w:after="0" w:line="240" w:lineRule="auto"/>
              <w:jc w:val="both"/>
              <w:rPr>
                <w:b/>
                <w:color w:val="auto"/>
                <w:sz w:val="24"/>
                <w:szCs w:val="24"/>
              </w:rPr>
            </w:pPr>
          </w:p>
        </w:tc>
        <w:tc>
          <w:tcPr>
            <w:tcW w:w="4118" w:type="dxa"/>
            <w:tcBorders>
              <w:bottom w:val="single" w:sz="4" w:space="0" w:color="auto"/>
            </w:tcBorders>
          </w:tcPr>
          <w:p w:rsidR="00A76E9D" w:rsidRPr="00DF6F04" w:rsidRDefault="00A76E9D" w:rsidP="00007D43">
            <w:pPr>
              <w:pStyle w:val="BodyTextGrey"/>
              <w:spacing w:after="0" w:line="240" w:lineRule="auto"/>
              <w:jc w:val="both"/>
              <w:rPr>
                <w:b/>
                <w:color w:val="auto"/>
                <w:sz w:val="24"/>
                <w:szCs w:val="24"/>
              </w:rPr>
            </w:pPr>
          </w:p>
        </w:tc>
      </w:tr>
      <w:tr w:rsidR="00A76E9D" w:rsidRPr="00DF6F04" w:rsidTr="00007D43">
        <w:trPr>
          <w:trHeight w:val="75"/>
        </w:trPr>
        <w:tc>
          <w:tcPr>
            <w:tcW w:w="4402" w:type="dxa"/>
          </w:tcPr>
          <w:p w:rsidR="00A76E9D" w:rsidRPr="00DF6F04" w:rsidRDefault="00A76E9D" w:rsidP="00007D43">
            <w:pPr>
              <w:pStyle w:val="BodyTextGrey"/>
              <w:spacing w:after="0" w:line="240" w:lineRule="auto"/>
              <w:jc w:val="both"/>
              <w:rPr>
                <w:b/>
                <w:color w:val="auto"/>
                <w:sz w:val="24"/>
                <w:szCs w:val="24"/>
              </w:rPr>
            </w:pPr>
            <w:r>
              <w:rPr>
                <w:color w:val="auto"/>
                <w:sz w:val="24"/>
                <w:szCs w:val="24"/>
              </w:rPr>
              <w:t>Claire Symonds</w:t>
            </w:r>
          </w:p>
        </w:tc>
        <w:tc>
          <w:tcPr>
            <w:tcW w:w="851" w:type="dxa"/>
          </w:tcPr>
          <w:p w:rsidR="00A76E9D" w:rsidRPr="00DF6F04" w:rsidRDefault="00A76E9D" w:rsidP="00007D43">
            <w:pPr>
              <w:pStyle w:val="BodyTextGrey"/>
              <w:spacing w:after="0" w:line="240" w:lineRule="auto"/>
              <w:jc w:val="both"/>
              <w:rPr>
                <w:b/>
                <w:color w:val="auto"/>
                <w:sz w:val="24"/>
                <w:szCs w:val="24"/>
              </w:rPr>
            </w:pPr>
          </w:p>
        </w:tc>
        <w:tc>
          <w:tcPr>
            <w:tcW w:w="4118" w:type="dxa"/>
          </w:tcPr>
          <w:p w:rsidR="00A76E9D" w:rsidRPr="00DF6F04" w:rsidRDefault="00A76E9D" w:rsidP="00007D43">
            <w:pPr>
              <w:pStyle w:val="BodyTextGrey"/>
              <w:spacing w:after="0" w:line="240" w:lineRule="auto"/>
              <w:jc w:val="both"/>
              <w:rPr>
                <w:b/>
                <w:color w:val="auto"/>
                <w:sz w:val="24"/>
                <w:szCs w:val="24"/>
              </w:rPr>
            </w:pPr>
            <w:r>
              <w:rPr>
                <w:color w:val="auto"/>
                <w:sz w:val="24"/>
                <w:szCs w:val="24"/>
              </w:rPr>
              <w:t>Chief Operating Officer</w:t>
            </w:r>
          </w:p>
        </w:tc>
      </w:tr>
    </w:tbl>
    <w:p w:rsidR="00A76E9D" w:rsidRPr="00DF6F04" w:rsidRDefault="00A76E9D" w:rsidP="00A76E9D">
      <w:r w:rsidRPr="00DF6F04">
        <w:br w:type="page"/>
      </w:r>
    </w:p>
    <w:p w:rsidR="00A76E9D" w:rsidRPr="00DF6F04" w:rsidRDefault="00A76E9D" w:rsidP="00A76E9D">
      <w:pPr>
        <w:pStyle w:val="Heading2"/>
        <w:numPr>
          <w:ilvl w:val="0"/>
          <w:numId w:val="0"/>
        </w:numPr>
        <w:jc w:val="both"/>
        <w:rPr>
          <w:rFonts w:ascii="Arial" w:hAnsi="Arial" w:cs="Arial"/>
          <w:szCs w:val="24"/>
        </w:rPr>
      </w:pPr>
      <w:r w:rsidRPr="00DF6F04">
        <w:rPr>
          <w:rFonts w:ascii="Arial" w:hAnsi="Arial" w:cs="Arial"/>
          <w:szCs w:val="24"/>
        </w:rPr>
        <w:lastRenderedPageBreak/>
        <w:t>Appendix A: Myners Principles</w:t>
      </w:r>
    </w:p>
    <w:p w:rsidR="00A76E9D" w:rsidRPr="00DF6F04" w:rsidRDefault="00A76E9D" w:rsidP="00A76E9D">
      <w:pPr>
        <w:pStyle w:val="BodyTextGrey"/>
        <w:spacing w:after="0" w:line="240" w:lineRule="auto"/>
        <w:jc w:val="both"/>
        <w:rPr>
          <w:color w:val="auto"/>
          <w:sz w:val="24"/>
          <w:szCs w:val="24"/>
        </w:rPr>
      </w:pPr>
    </w:p>
    <w:p w:rsidR="00A76E9D" w:rsidRPr="00DF6F04" w:rsidRDefault="00A76E9D" w:rsidP="00A76E9D">
      <w:pPr>
        <w:pStyle w:val="BodyTextGrey"/>
        <w:spacing w:after="0" w:line="240" w:lineRule="auto"/>
        <w:jc w:val="both"/>
        <w:rPr>
          <w:color w:val="auto"/>
          <w:sz w:val="24"/>
          <w:szCs w:val="24"/>
        </w:rPr>
      </w:pPr>
      <w:r w:rsidRPr="00DF6F04">
        <w:rPr>
          <w:color w:val="auto"/>
          <w:sz w:val="24"/>
          <w:szCs w:val="24"/>
        </w:rPr>
        <w:t xml:space="preserve">The Pension Panel considers that its practices are compliant with the CIPFA principles for Investment Decision Making in LGPS.  The 6 principles are: </w:t>
      </w:r>
    </w:p>
    <w:p w:rsidR="00A76E9D" w:rsidRPr="00DF6F04" w:rsidRDefault="00A76E9D" w:rsidP="00A76E9D">
      <w:pPr>
        <w:pStyle w:val="BodyTextGrey"/>
        <w:spacing w:after="0" w:line="240" w:lineRule="auto"/>
        <w:jc w:val="both"/>
        <w:rPr>
          <w:color w:val="auto"/>
          <w:sz w:val="24"/>
          <w:szCs w:val="24"/>
        </w:rPr>
      </w:pPr>
    </w:p>
    <w:p w:rsidR="00A76E9D" w:rsidRPr="00DF6F04" w:rsidRDefault="00A76E9D" w:rsidP="00A76E9D">
      <w:pPr>
        <w:pStyle w:val="BodyTextGrey"/>
        <w:numPr>
          <w:ilvl w:val="1"/>
          <w:numId w:val="12"/>
        </w:numPr>
        <w:spacing w:after="0" w:line="240" w:lineRule="auto"/>
        <w:ind w:left="567"/>
        <w:jc w:val="both"/>
        <w:rPr>
          <w:color w:val="auto"/>
          <w:sz w:val="24"/>
          <w:szCs w:val="24"/>
        </w:rPr>
      </w:pPr>
      <w:r w:rsidRPr="00DF6F04">
        <w:rPr>
          <w:color w:val="auto"/>
          <w:sz w:val="24"/>
          <w:szCs w:val="24"/>
        </w:rPr>
        <w:t>Effective decision making</w:t>
      </w:r>
      <w:r>
        <w:rPr>
          <w:color w:val="auto"/>
          <w:sz w:val="24"/>
          <w:szCs w:val="24"/>
        </w:rPr>
        <w:t>;</w:t>
      </w:r>
      <w:r w:rsidRPr="00DF6F04">
        <w:rPr>
          <w:color w:val="auto"/>
          <w:sz w:val="24"/>
          <w:szCs w:val="24"/>
        </w:rPr>
        <w:t xml:space="preserve"> </w:t>
      </w:r>
    </w:p>
    <w:p w:rsidR="00A76E9D" w:rsidRPr="00DF6F04" w:rsidRDefault="00A76E9D" w:rsidP="00A76E9D">
      <w:pPr>
        <w:pStyle w:val="BodyTextGrey"/>
        <w:numPr>
          <w:ilvl w:val="1"/>
          <w:numId w:val="12"/>
        </w:numPr>
        <w:spacing w:after="0" w:line="240" w:lineRule="auto"/>
        <w:ind w:left="567"/>
        <w:jc w:val="both"/>
        <w:rPr>
          <w:color w:val="auto"/>
          <w:sz w:val="24"/>
          <w:szCs w:val="24"/>
        </w:rPr>
      </w:pPr>
      <w:r w:rsidRPr="00DF6F04">
        <w:rPr>
          <w:color w:val="auto"/>
          <w:sz w:val="24"/>
          <w:szCs w:val="24"/>
        </w:rPr>
        <w:t>Clear objectives</w:t>
      </w:r>
      <w:r>
        <w:rPr>
          <w:color w:val="auto"/>
          <w:sz w:val="24"/>
          <w:szCs w:val="24"/>
        </w:rPr>
        <w:t>;</w:t>
      </w:r>
      <w:r w:rsidRPr="00DF6F04">
        <w:rPr>
          <w:color w:val="auto"/>
          <w:sz w:val="24"/>
          <w:szCs w:val="24"/>
        </w:rPr>
        <w:t xml:space="preserve"> </w:t>
      </w:r>
    </w:p>
    <w:p w:rsidR="00A76E9D" w:rsidRPr="00DF6F04" w:rsidRDefault="00A76E9D" w:rsidP="00A76E9D">
      <w:pPr>
        <w:pStyle w:val="BodyTextGrey"/>
        <w:numPr>
          <w:ilvl w:val="1"/>
          <w:numId w:val="12"/>
        </w:numPr>
        <w:spacing w:after="0" w:line="240" w:lineRule="auto"/>
        <w:ind w:left="567"/>
        <w:jc w:val="both"/>
        <w:rPr>
          <w:color w:val="auto"/>
          <w:sz w:val="24"/>
          <w:szCs w:val="24"/>
        </w:rPr>
      </w:pPr>
      <w:r w:rsidRPr="00DF6F04">
        <w:rPr>
          <w:color w:val="auto"/>
          <w:sz w:val="24"/>
          <w:szCs w:val="24"/>
        </w:rPr>
        <w:t>Risk and liabilities</w:t>
      </w:r>
      <w:r>
        <w:rPr>
          <w:color w:val="auto"/>
          <w:sz w:val="24"/>
          <w:szCs w:val="24"/>
        </w:rPr>
        <w:t>;</w:t>
      </w:r>
      <w:r w:rsidRPr="00DF6F04">
        <w:rPr>
          <w:color w:val="auto"/>
          <w:sz w:val="24"/>
          <w:szCs w:val="24"/>
        </w:rPr>
        <w:t xml:space="preserve"> </w:t>
      </w:r>
    </w:p>
    <w:p w:rsidR="00A76E9D" w:rsidRPr="00DF6F04" w:rsidRDefault="00A76E9D" w:rsidP="00A76E9D">
      <w:pPr>
        <w:pStyle w:val="BodyTextGrey"/>
        <w:numPr>
          <w:ilvl w:val="1"/>
          <w:numId w:val="12"/>
        </w:numPr>
        <w:spacing w:after="0" w:line="240" w:lineRule="auto"/>
        <w:ind w:left="567"/>
        <w:jc w:val="both"/>
        <w:rPr>
          <w:color w:val="auto"/>
          <w:sz w:val="24"/>
          <w:szCs w:val="24"/>
        </w:rPr>
      </w:pPr>
      <w:r w:rsidRPr="00DF6F04">
        <w:rPr>
          <w:color w:val="auto"/>
          <w:sz w:val="24"/>
          <w:szCs w:val="24"/>
        </w:rPr>
        <w:t>Performance assessment</w:t>
      </w:r>
      <w:r>
        <w:rPr>
          <w:color w:val="auto"/>
          <w:sz w:val="24"/>
          <w:szCs w:val="24"/>
        </w:rPr>
        <w:t>;</w:t>
      </w:r>
      <w:r w:rsidRPr="00DF6F04">
        <w:rPr>
          <w:color w:val="auto"/>
          <w:sz w:val="24"/>
          <w:szCs w:val="24"/>
        </w:rPr>
        <w:t xml:space="preserve"> </w:t>
      </w:r>
    </w:p>
    <w:p w:rsidR="00A76E9D" w:rsidRPr="00DF6F04" w:rsidRDefault="00A76E9D" w:rsidP="00A76E9D">
      <w:pPr>
        <w:pStyle w:val="BodyTextGrey"/>
        <w:numPr>
          <w:ilvl w:val="1"/>
          <w:numId w:val="12"/>
        </w:numPr>
        <w:spacing w:after="0" w:line="240" w:lineRule="auto"/>
        <w:ind w:left="567"/>
        <w:jc w:val="both"/>
        <w:rPr>
          <w:color w:val="auto"/>
          <w:sz w:val="24"/>
          <w:szCs w:val="24"/>
        </w:rPr>
      </w:pPr>
      <w:r w:rsidRPr="00DF6F04">
        <w:rPr>
          <w:color w:val="auto"/>
          <w:sz w:val="24"/>
          <w:szCs w:val="24"/>
        </w:rPr>
        <w:t>Responsible ownership</w:t>
      </w:r>
      <w:r>
        <w:rPr>
          <w:color w:val="auto"/>
          <w:sz w:val="24"/>
          <w:szCs w:val="24"/>
        </w:rPr>
        <w:t>; and</w:t>
      </w:r>
      <w:r w:rsidRPr="00DF6F04">
        <w:rPr>
          <w:color w:val="auto"/>
          <w:sz w:val="24"/>
          <w:szCs w:val="24"/>
        </w:rPr>
        <w:t xml:space="preserve"> </w:t>
      </w:r>
    </w:p>
    <w:p w:rsidR="00A76E9D" w:rsidRPr="00DF6F04" w:rsidRDefault="00A76E9D" w:rsidP="00A76E9D">
      <w:pPr>
        <w:pStyle w:val="BodyTextGrey"/>
        <w:numPr>
          <w:ilvl w:val="1"/>
          <w:numId w:val="12"/>
        </w:numPr>
        <w:spacing w:after="0" w:line="240" w:lineRule="auto"/>
        <w:ind w:left="567"/>
        <w:jc w:val="both"/>
        <w:rPr>
          <w:color w:val="auto"/>
          <w:sz w:val="24"/>
          <w:szCs w:val="24"/>
        </w:rPr>
      </w:pPr>
      <w:r>
        <w:rPr>
          <w:color w:val="auto"/>
          <w:sz w:val="24"/>
          <w:szCs w:val="24"/>
        </w:rPr>
        <w:t>Transparency and reporting.</w:t>
      </w:r>
    </w:p>
    <w:p w:rsidR="00A76E9D" w:rsidRPr="00DF6F04" w:rsidRDefault="00A76E9D" w:rsidP="00A76E9D">
      <w:pPr>
        <w:pStyle w:val="BodyTextGrey"/>
        <w:spacing w:after="0" w:line="240" w:lineRule="auto"/>
        <w:jc w:val="both"/>
        <w:rPr>
          <w:color w:val="auto"/>
          <w:sz w:val="24"/>
          <w:szCs w:val="24"/>
          <w:lang w:eastAsia="en-GB"/>
        </w:rPr>
      </w:pPr>
    </w:p>
    <w:p w:rsidR="00A76E9D" w:rsidRPr="00DF6F04" w:rsidRDefault="00A76E9D" w:rsidP="00A76E9D">
      <w:pPr>
        <w:pStyle w:val="BodyTextGrey"/>
        <w:spacing w:after="0" w:line="240" w:lineRule="auto"/>
        <w:jc w:val="both"/>
        <w:rPr>
          <w:color w:val="auto"/>
          <w:sz w:val="24"/>
          <w:szCs w:val="24"/>
        </w:rPr>
      </w:pPr>
      <w:r w:rsidRPr="00DF6F04">
        <w:rPr>
          <w:color w:val="auto"/>
          <w:sz w:val="24"/>
          <w:szCs w:val="24"/>
          <w:lang w:eastAsia="en-GB"/>
        </w:rPr>
        <w:t>The Panel’s self-assessment of adherence to the principles is shown below</w:t>
      </w:r>
    </w:p>
    <w:tbl>
      <w:tblPr>
        <w:tblpPr w:leftFromText="180" w:rightFromText="180" w:vertAnchor="text" w:horzAnchor="margin" w:tblpY="118"/>
        <w:tblW w:w="51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116"/>
      </w:tblGrid>
      <w:tr w:rsidR="00A76E9D" w:rsidRPr="00DF6F04" w:rsidTr="00007D43">
        <w:trPr>
          <w:trHeight w:val="565"/>
        </w:trPr>
        <w:tc>
          <w:tcPr>
            <w:tcW w:w="2268" w:type="pct"/>
          </w:tcPr>
          <w:p w:rsidR="00A76E9D" w:rsidRPr="00DF6F04" w:rsidRDefault="00A76E9D" w:rsidP="00007D43">
            <w:pPr>
              <w:pStyle w:val="Heading4"/>
              <w:spacing w:before="0" w:line="240" w:lineRule="auto"/>
              <w:jc w:val="center"/>
              <w:rPr>
                <w:rFonts w:ascii="Arial" w:hAnsi="Arial" w:cs="Arial"/>
                <w:i w:val="0"/>
                <w:color w:val="323E4F" w:themeColor="text2" w:themeShade="BF"/>
                <w:sz w:val="24"/>
                <w:szCs w:val="24"/>
              </w:rPr>
            </w:pPr>
            <w:r w:rsidRPr="00DF6F04">
              <w:rPr>
                <w:rFonts w:ascii="Arial" w:hAnsi="Arial" w:cs="Arial"/>
                <w:i w:val="0"/>
                <w:color w:val="323E4F" w:themeColor="text2" w:themeShade="BF"/>
                <w:sz w:val="24"/>
                <w:szCs w:val="24"/>
              </w:rPr>
              <w:t>Principles</w:t>
            </w:r>
          </w:p>
        </w:tc>
        <w:tc>
          <w:tcPr>
            <w:tcW w:w="2732" w:type="pct"/>
          </w:tcPr>
          <w:p w:rsidR="00A76E9D" w:rsidRPr="00DF6F04" w:rsidRDefault="00A76E9D" w:rsidP="00007D43">
            <w:pPr>
              <w:autoSpaceDE w:val="0"/>
              <w:autoSpaceDN w:val="0"/>
              <w:adjustRightInd w:val="0"/>
              <w:jc w:val="center"/>
              <w:rPr>
                <w:rFonts w:ascii="Arial" w:hAnsi="Arial" w:cs="Arial"/>
                <w:b/>
                <w:bCs/>
                <w:iCs/>
                <w:color w:val="323E4F" w:themeColor="text2" w:themeShade="BF"/>
              </w:rPr>
            </w:pPr>
            <w:r w:rsidRPr="00DF6F04">
              <w:rPr>
                <w:rFonts w:ascii="Arial" w:hAnsi="Arial" w:cs="Arial"/>
                <w:b/>
                <w:bCs/>
                <w:iCs/>
                <w:color w:val="323E4F" w:themeColor="text2" w:themeShade="BF"/>
              </w:rPr>
              <w:t>Response on Adherence</w:t>
            </w:r>
          </w:p>
        </w:tc>
      </w:tr>
      <w:tr w:rsidR="00A76E9D" w:rsidRPr="00DF6F04" w:rsidTr="00007D43">
        <w:trPr>
          <w:trHeight w:val="4246"/>
        </w:trPr>
        <w:tc>
          <w:tcPr>
            <w:tcW w:w="2268" w:type="pct"/>
          </w:tcPr>
          <w:p w:rsidR="00A76E9D" w:rsidRPr="00DF6F04" w:rsidRDefault="00A76E9D" w:rsidP="00007D43">
            <w:pPr>
              <w:pStyle w:val="Heading4"/>
              <w:spacing w:before="0" w:line="240" w:lineRule="auto"/>
              <w:ind w:right="-108"/>
              <w:rPr>
                <w:rFonts w:ascii="Arial" w:hAnsi="Arial" w:cs="Arial"/>
                <w:i w:val="0"/>
                <w:sz w:val="24"/>
                <w:szCs w:val="24"/>
              </w:rPr>
            </w:pPr>
            <w:r w:rsidRPr="00DF6F04">
              <w:rPr>
                <w:rFonts w:ascii="Arial" w:hAnsi="Arial" w:cs="Arial"/>
                <w:i w:val="0"/>
                <w:sz w:val="24"/>
                <w:szCs w:val="24"/>
              </w:rPr>
              <w:t>Principle 1 Effective Decision Making:</w:t>
            </w:r>
          </w:p>
          <w:p w:rsidR="00A76E9D" w:rsidRPr="00DF6F04" w:rsidRDefault="00A76E9D" w:rsidP="00007D43">
            <w:pPr>
              <w:pStyle w:val="BodyText"/>
              <w:spacing w:after="0"/>
              <w:ind w:right="-108"/>
              <w:rPr>
                <w:rFonts w:ascii="Arial" w:hAnsi="Arial" w:cs="Arial"/>
                <w:b/>
                <w:szCs w:val="24"/>
              </w:rPr>
            </w:pPr>
            <w:r w:rsidRPr="00DF6F04">
              <w:rPr>
                <w:rFonts w:ascii="Arial" w:hAnsi="Arial" w:cs="Arial"/>
                <w:szCs w:val="24"/>
              </w:rPr>
              <w:t xml:space="preserve">Administering authorities should ensure: </w:t>
            </w:r>
          </w:p>
          <w:p w:rsidR="00A76E9D" w:rsidRPr="00DF6F04" w:rsidRDefault="00A76E9D" w:rsidP="00A76E9D">
            <w:pPr>
              <w:pStyle w:val="BodyText"/>
              <w:numPr>
                <w:ilvl w:val="0"/>
                <w:numId w:val="7"/>
              </w:numPr>
              <w:spacing w:before="20" w:after="200" w:line="280" w:lineRule="atLeast"/>
              <w:ind w:left="284" w:right="-107" w:hanging="284"/>
              <w:rPr>
                <w:rFonts w:ascii="Arial" w:hAnsi="Arial" w:cs="Arial"/>
                <w:szCs w:val="24"/>
              </w:rPr>
            </w:pPr>
            <w:r w:rsidRPr="00DF6F04">
              <w:rPr>
                <w:rFonts w:ascii="Arial" w:hAnsi="Arial" w:cs="Arial"/>
                <w:szCs w:val="24"/>
              </w:rPr>
              <w:t>That decisions are taken by persons or organisations with the skills, knowledge, advice and resources necessary to make them effectively and monitor their implementation; and</w:t>
            </w:r>
          </w:p>
          <w:p w:rsidR="00A76E9D" w:rsidRPr="00DF6F04" w:rsidRDefault="00A76E9D" w:rsidP="00A76E9D">
            <w:pPr>
              <w:pStyle w:val="BodyText"/>
              <w:numPr>
                <w:ilvl w:val="0"/>
                <w:numId w:val="7"/>
              </w:numPr>
              <w:spacing w:before="20" w:after="200" w:line="280" w:lineRule="atLeast"/>
              <w:ind w:left="284" w:right="-107" w:hanging="284"/>
              <w:rPr>
                <w:rFonts w:ascii="Arial" w:hAnsi="Arial" w:cs="Arial"/>
                <w:szCs w:val="24"/>
                <w:lang w:eastAsia="en-GB"/>
              </w:rPr>
            </w:pPr>
            <w:r w:rsidRPr="00DF6F04">
              <w:rPr>
                <w:rFonts w:ascii="Arial" w:hAnsi="Arial" w:cs="Arial"/>
                <w:szCs w:val="24"/>
              </w:rPr>
              <w:t>That those persons or organisations have sufficient expertise to be able to evaluate and challenge the advice they receive, and manage conflicts of interest.</w:t>
            </w:r>
          </w:p>
        </w:tc>
        <w:tc>
          <w:tcPr>
            <w:tcW w:w="2732" w:type="pct"/>
          </w:tcPr>
          <w:p w:rsidR="00A76E9D" w:rsidRPr="00DF6F04" w:rsidRDefault="00A76E9D" w:rsidP="00007D43">
            <w:pPr>
              <w:autoSpaceDE w:val="0"/>
              <w:autoSpaceDN w:val="0"/>
              <w:adjustRightInd w:val="0"/>
              <w:rPr>
                <w:rFonts w:ascii="Arial" w:hAnsi="Arial" w:cs="Arial"/>
                <w:b/>
                <w:iCs/>
                <w:color w:val="2F5496" w:themeColor="accent1" w:themeShade="BF"/>
              </w:rPr>
            </w:pPr>
            <w:r w:rsidRPr="00DF6F04">
              <w:rPr>
                <w:rFonts w:ascii="Arial" w:hAnsi="Arial" w:cs="Arial"/>
                <w:b/>
                <w:bCs/>
                <w:iCs/>
                <w:color w:val="2F5496" w:themeColor="accent1" w:themeShade="BF"/>
              </w:rPr>
              <w:t>Compliant</w:t>
            </w:r>
          </w:p>
          <w:p w:rsidR="00A76E9D" w:rsidRPr="00DF6F04" w:rsidRDefault="00A76E9D" w:rsidP="00007D43">
            <w:pPr>
              <w:pStyle w:val="BodyTextGrey"/>
              <w:rPr>
                <w:color w:val="auto"/>
                <w:sz w:val="24"/>
                <w:szCs w:val="24"/>
              </w:rPr>
            </w:pPr>
            <w:r w:rsidRPr="00DF6F04">
              <w:rPr>
                <w:color w:val="auto"/>
                <w:sz w:val="24"/>
                <w:szCs w:val="24"/>
              </w:rPr>
              <w:t xml:space="preserve">Decisions are taken by the Pension Panel, which is responsible for the management of the Fund. </w:t>
            </w:r>
          </w:p>
          <w:p w:rsidR="00A76E9D" w:rsidRPr="00DF6F04" w:rsidRDefault="00A76E9D" w:rsidP="00007D43">
            <w:pPr>
              <w:pStyle w:val="BodyTextGrey"/>
              <w:rPr>
                <w:color w:val="auto"/>
                <w:sz w:val="24"/>
                <w:szCs w:val="24"/>
              </w:rPr>
            </w:pPr>
            <w:r w:rsidRPr="00DF6F04">
              <w:rPr>
                <w:color w:val="auto"/>
                <w:sz w:val="24"/>
                <w:szCs w:val="24"/>
              </w:rPr>
              <w:t xml:space="preserve">The Panel has support from Council officers with sufficient experience to assist them. The Panel also seeks advice from professional actuarial and investment advisers to ensure it can be familiar with the issues concerned when making decisions. </w:t>
            </w:r>
          </w:p>
          <w:p w:rsidR="00A76E9D" w:rsidRPr="00DF6F04" w:rsidRDefault="00A76E9D" w:rsidP="00007D43">
            <w:pPr>
              <w:pStyle w:val="BodyTextGrey"/>
              <w:rPr>
                <w:color w:val="auto"/>
                <w:sz w:val="24"/>
                <w:szCs w:val="24"/>
                <w:lang w:eastAsia="en-GB"/>
              </w:rPr>
            </w:pPr>
            <w:r w:rsidRPr="00DF6F04">
              <w:rPr>
                <w:color w:val="auto"/>
                <w:sz w:val="24"/>
                <w:szCs w:val="24"/>
              </w:rPr>
              <w:t>The Panel is able to make robust challenges to advice and is aware of where potential conflicts of interest may reside within the Panel and in relation to service providers.</w:t>
            </w:r>
          </w:p>
        </w:tc>
      </w:tr>
      <w:tr w:rsidR="00A76E9D" w:rsidRPr="00DF6F04" w:rsidTr="00007D43">
        <w:trPr>
          <w:trHeight w:val="4664"/>
        </w:trPr>
        <w:tc>
          <w:tcPr>
            <w:tcW w:w="2268" w:type="pct"/>
          </w:tcPr>
          <w:p w:rsidR="00A76E9D" w:rsidRPr="00DF6F04" w:rsidRDefault="00A76E9D" w:rsidP="00007D43">
            <w:pPr>
              <w:pStyle w:val="Heading4"/>
              <w:rPr>
                <w:rFonts w:ascii="Arial" w:hAnsi="Arial" w:cs="Arial"/>
                <w:i w:val="0"/>
                <w:sz w:val="24"/>
                <w:szCs w:val="24"/>
              </w:rPr>
            </w:pPr>
            <w:bookmarkStart w:id="2" w:name="_Toc237168735"/>
            <w:r w:rsidRPr="00DF6F04">
              <w:rPr>
                <w:rFonts w:ascii="Arial" w:hAnsi="Arial" w:cs="Arial"/>
                <w:i w:val="0"/>
                <w:sz w:val="24"/>
                <w:szCs w:val="24"/>
              </w:rPr>
              <w:t>Principle 2  Clear objectives</w:t>
            </w:r>
            <w:bookmarkEnd w:id="2"/>
            <w:r w:rsidRPr="00DF6F04">
              <w:rPr>
                <w:rFonts w:ascii="Arial" w:hAnsi="Arial" w:cs="Arial"/>
                <w:i w:val="0"/>
                <w:sz w:val="24"/>
                <w:szCs w:val="24"/>
              </w:rPr>
              <w:t xml:space="preserve">:  </w:t>
            </w:r>
          </w:p>
          <w:p w:rsidR="00A76E9D" w:rsidRPr="00DF6F04" w:rsidRDefault="00A76E9D" w:rsidP="00A76E9D">
            <w:pPr>
              <w:pStyle w:val="BodyTextGrey"/>
              <w:numPr>
                <w:ilvl w:val="0"/>
                <w:numId w:val="11"/>
              </w:numPr>
              <w:spacing w:before="20"/>
              <w:rPr>
                <w:color w:val="auto"/>
                <w:sz w:val="24"/>
                <w:szCs w:val="24"/>
                <w:lang w:eastAsia="en-GB"/>
              </w:rPr>
            </w:pPr>
            <w:r w:rsidRPr="00DF6F04">
              <w:rPr>
                <w:color w:val="auto"/>
                <w:sz w:val="24"/>
                <w:szCs w:val="24"/>
              </w:rPr>
              <w:t>An overall investment objective should be set out for the fund that takes account of the scheme’s liabilities, the potential impact on local tax payers, the strength of the covenant for non-local authority employers, and the attitude to risk of both the administering authority and scheme employers, and these should be clearly communicated to advisers and investment managers.</w:t>
            </w:r>
          </w:p>
        </w:tc>
        <w:tc>
          <w:tcPr>
            <w:tcW w:w="2732" w:type="pct"/>
          </w:tcPr>
          <w:p w:rsidR="00A76E9D" w:rsidRPr="00DF6F04" w:rsidRDefault="00A76E9D" w:rsidP="00007D43">
            <w:pPr>
              <w:pStyle w:val="Heading4"/>
              <w:rPr>
                <w:rFonts w:ascii="Arial" w:hAnsi="Arial" w:cs="Arial"/>
                <w:i w:val="0"/>
                <w:color w:val="2F5496" w:themeColor="accent1" w:themeShade="BF"/>
                <w:sz w:val="24"/>
                <w:szCs w:val="24"/>
              </w:rPr>
            </w:pPr>
            <w:r w:rsidRPr="00DF6F04">
              <w:rPr>
                <w:rFonts w:ascii="Arial" w:hAnsi="Arial" w:cs="Arial"/>
                <w:i w:val="0"/>
                <w:color w:val="2F5496" w:themeColor="accent1" w:themeShade="BF"/>
                <w:sz w:val="24"/>
                <w:szCs w:val="24"/>
              </w:rPr>
              <w:t xml:space="preserve">Compliant </w:t>
            </w:r>
          </w:p>
          <w:p w:rsidR="00A76E9D" w:rsidRPr="00DF6F04" w:rsidRDefault="00A76E9D" w:rsidP="00007D43">
            <w:pPr>
              <w:pStyle w:val="BodyTextGrey"/>
              <w:rPr>
                <w:color w:val="auto"/>
                <w:sz w:val="24"/>
                <w:szCs w:val="24"/>
              </w:rPr>
            </w:pPr>
            <w:r w:rsidRPr="00DF6F04">
              <w:rPr>
                <w:color w:val="auto"/>
                <w:sz w:val="24"/>
                <w:szCs w:val="24"/>
              </w:rPr>
              <w:t xml:space="preserve">The Panel has established objectives for the Fund which takes account of the nature of Fund liabilities and the contribution strategy. This involved discussions with the Actuary to enable the Panel to set the overall risk budget for the Fund. This is reflected in the investment mandates awarded to the asset managers. </w:t>
            </w:r>
          </w:p>
          <w:p w:rsidR="00A76E9D" w:rsidRPr="00DF6F04" w:rsidRDefault="00A76E9D" w:rsidP="00007D43">
            <w:pPr>
              <w:pStyle w:val="BodyTextGrey"/>
              <w:rPr>
                <w:color w:val="auto"/>
                <w:sz w:val="24"/>
                <w:szCs w:val="24"/>
                <w:lang w:eastAsia="en-GB"/>
              </w:rPr>
            </w:pPr>
            <w:r w:rsidRPr="00DF6F04">
              <w:rPr>
                <w:color w:val="auto"/>
                <w:sz w:val="24"/>
                <w:szCs w:val="24"/>
              </w:rPr>
              <w:t>There is dialogue with admitted bodies within the Fund in relation to the contributions they pay, their capacity to pay these contributions and the level of guarantees they can provide.</w:t>
            </w:r>
          </w:p>
        </w:tc>
      </w:tr>
      <w:tr w:rsidR="00A76E9D" w:rsidRPr="00DF6F04" w:rsidTr="00007D43">
        <w:trPr>
          <w:trHeight w:val="423"/>
        </w:trPr>
        <w:tc>
          <w:tcPr>
            <w:tcW w:w="2268" w:type="pct"/>
          </w:tcPr>
          <w:p w:rsidR="00A76E9D" w:rsidRPr="00DF6F04" w:rsidRDefault="00A76E9D" w:rsidP="00007D43">
            <w:pPr>
              <w:pStyle w:val="Heading4"/>
              <w:rPr>
                <w:rFonts w:ascii="Arial" w:hAnsi="Arial" w:cs="Arial"/>
                <w:i w:val="0"/>
                <w:color w:val="2F5496" w:themeColor="accent1" w:themeShade="BF"/>
                <w:sz w:val="24"/>
                <w:szCs w:val="24"/>
              </w:rPr>
            </w:pPr>
            <w:r w:rsidRPr="00DF6F04">
              <w:rPr>
                <w:rFonts w:ascii="Arial" w:hAnsi="Arial" w:cs="Arial"/>
                <w:i w:val="0"/>
                <w:color w:val="2F5496" w:themeColor="accent1" w:themeShade="BF"/>
                <w:sz w:val="24"/>
                <w:szCs w:val="24"/>
              </w:rPr>
              <w:lastRenderedPageBreak/>
              <w:t>Principle 3 Risk and liabilities:</w:t>
            </w:r>
          </w:p>
          <w:p w:rsidR="00A76E9D" w:rsidRPr="00DF6F04" w:rsidRDefault="00A76E9D" w:rsidP="00A76E9D">
            <w:pPr>
              <w:pStyle w:val="BodyText"/>
              <w:numPr>
                <w:ilvl w:val="0"/>
                <w:numId w:val="7"/>
              </w:numPr>
              <w:spacing w:before="20" w:after="200" w:line="280" w:lineRule="atLeast"/>
              <w:ind w:left="284" w:hanging="284"/>
              <w:rPr>
                <w:rFonts w:ascii="Arial" w:hAnsi="Arial" w:cs="Arial"/>
                <w:bCs/>
                <w:szCs w:val="24"/>
              </w:rPr>
            </w:pPr>
            <w:r w:rsidRPr="00DF6F04">
              <w:rPr>
                <w:rFonts w:ascii="Arial" w:hAnsi="Arial" w:cs="Arial"/>
                <w:bCs/>
                <w:szCs w:val="24"/>
              </w:rPr>
              <w:t>In setting and reviewing their investment strategy, administering authorities should take account of the form and structure of liabilities.</w:t>
            </w:r>
          </w:p>
          <w:p w:rsidR="00A76E9D" w:rsidRPr="00DF6F04" w:rsidRDefault="00A76E9D" w:rsidP="00A76E9D">
            <w:pPr>
              <w:pStyle w:val="BodyText"/>
              <w:numPr>
                <w:ilvl w:val="0"/>
                <w:numId w:val="7"/>
              </w:numPr>
              <w:spacing w:before="20" w:after="200" w:line="280" w:lineRule="atLeast"/>
              <w:ind w:left="284" w:hanging="284"/>
              <w:rPr>
                <w:rFonts w:ascii="Arial" w:hAnsi="Arial" w:cs="Arial"/>
                <w:b/>
                <w:szCs w:val="24"/>
                <w:lang w:eastAsia="en-GB"/>
              </w:rPr>
            </w:pPr>
            <w:r w:rsidRPr="00DF6F04">
              <w:rPr>
                <w:rFonts w:ascii="Arial" w:hAnsi="Arial" w:cs="Arial"/>
                <w:bCs/>
                <w:szCs w:val="24"/>
              </w:rPr>
              <w:t>These include</w:t>
            </w:r>
            <w:r w:rsidRPr="00DF6F04">
              <w:rPr>
                <w:rFonts w:ascii="Arial" w:hAnsi="Arial" w:cs="Arial"/>
                <w:b/>
                <w:bCs/>
                <w:szCs w:val="24"/>
              </w:rPr>
              <w:t xml:space="preserve"> </w:t>
            </w:r>
            <w:r w:rsidRPr="00DF6F04">
              <w:rPr>
                <w:rFonts w:ascii="Arial" w:hAnsi="Arial" w:cs="Arial"/>
                <w:bCs/>
                <w:szCs w:val="24"/>
              </w:rPr>
              <w:t>the implications for local tax payers, the strength of the covenant for participating employers, the risk of their default and longevity risk</w:t>
            </w:r>
            <w:r w:rsidRPr="00DF6F04">
              <w:rPr>
                <w:rFonts w:ascii="Arial" w:hAnsi="Arial" w:cs="Arial"/>
                <w:b/>
                <w:bCs/>
                <w:szCs w:val="24"/>
              </w:rPr>
              <w:t>.</w:t>
            </w:r>
          </w:p>
        </w:tc>
        <w:tc>
          <w:tcPr>
            <w:tcW w:w="2732" w:type="pct"/>
          </w:tcPr>
          <w:p w:rsidR="00A76E9D" w:rsidRPr="00DF6F04" w:rsidRDefault="00A76E9D" w:rsidP="00007D43">
            <w:pPr>
              <w:autoSpaceDE w:val="0"/>
              <w:autoSpaceDN w:val="0"/>
              <w:adjustRightInd w:val="0"/>
              <w:rPr>
                <w:rFonts w:ascii="Arial" w:hAnsi="Arial" w:cs="Arial"/>
                <w:b/>
                <w:bCs/>
                <w:iCs/>
                <w:color w:val="2F5496" w:themeColor="accent1" w:themeShade="BF"/>
              </w:rPr>
            </w:pPr>
          </w:p>
          <w:p w:rsidR="00A76E9D" w:rsidRPr="00DF6F04" w:rsidRDefault="00A76E9D" w:rsidP="00007D43">
            <w:pPr>
              <w:autoSpaceDE w:val="0"/>
              <w:autoSpaceDN w:val="0"/>
              <w:adjustRightInd w:val="0"/>
              <w:rPr>
                <w:rFonts w:ascii="Arial" w:hAnsi="Arial" w:cs="Arial"/>
                <w:b/>
                <w:iCs/>
                <w:color w:val="2F5496" w:themeColor="accent1" w:themeShade="BF"/>
              </w:rPr>
            </w:pPr>
            <w:r w:rsidRPr="00DF6F04">
              <w:rPr>
                <w:rFonts w:ascii="Arial" w:hAnsi="Arial" w:cs="Arial"/>
                <w:b/>
                <w:bCs/>
                <w:iCs/>
                <w:color w:val="2F5496" w:themeColor="accent1" w:themeShade="BF"/>
              </w:rPr>
              <w:t xml:space="preserve">Compliant </w:t>
            </w:r>
          </w:p>
          <w:p w:rsidR="00A76E9D" w:rsidRPr="00DF6F04" w:rsidRDefault="00A76E9D" w:rsidP="00007D43">
            <w:pPr>
              <w:pStyle w:val="BodyTextGrey"/>
              <w:rPr>
                <w:color w:val="auto"/>
                <w:sz w:val="24"/>
                <w:szCs w:val="24"/>
              </w:rPr>
            </w:pPr>
            <w:r w:rsidRPr="00DF6F04">
              <w:rPr>
                <w:color w:val="auto"/>
                <w:sz w:val="24"/>
                <w:szCs w:val="24"/>
              </w:rPr>
              <w:t xml:space="preserve">The investment strategy is considered in the light of the nature of the Fund liabilities, the timescale over which benefits will be paid, and financial and demographic factors affecting the liabilities, such as inflation and improving longevity. </w:t>
            </w:r>
          </w:p>
          <w:p w:rsidR="00A76E9D" w:rsidRPr="00DF6F04" w:rsidRDefault="00A76E9D" w:rsidP="00007D43">
            <w:pPr>
              <w:pStyle w:val="BodyTextGrey"/>
              <w:rPr>
                <w:color w:val="auto"/>
                <w:sz w:val="24"/>
                <w:szCs w:val="24"/>
                <w:lang w:eastAsia="en-GB"/>
              </w:rPr>
            </w:pPr>
            <w:r w:rsidRPr="00DF6F04">
              <w:rPr>
                <w:color w:val="auto"/>
                <w:sz w:val="24"/>
                <w:szCs w:val="24"/>
              </w:rPr>
              <w:t>The Panel and Council officers have discussed the contribution strategy with the Actuary taking account of the strength of covenant of the Council and its long term horizon. Discussions have also taken place with admitted bodies in relation to the affordability of contributions and the strengths of their covenants.</w:t>
            </w:r>
          </w:p>
        </w:tc>
      </w:tr>
      <w:tr w:rsidR="00A76E9D" w:rsidRPr="00DF6F04" w:rsidTr="00007D43">
        <w:trPr>
          <w:trHeight w:val="416"/>
        </w:trPr>
        <w:tc>
          <w:tcPr>
            <w:tcW w:w="2268" w:type="pct"/>
          </w:tcPr>
          <w:p w:rsidR="00A76E9D" w:rsidRPr="00DF6F04" w:rsidRDefault="00A76E9D" w:rsidP="00007D43">
            <w:pPr>
              <w:pStyle w:val="Heading4"/>
              <w:rPr>
                <w:rFonts w:ascii="Arial" w:hAnsi="Arial" w:cs="Arial"/>
                <w:i w:val="0"/>
                <w:color w:val="2F5496" w:themeColor="accent1" w:themeShade="BF"/>
                <w:sz w:val="24"/>
                <w:szCs w:val="24"/>
              </w:rPr>
            </w:pPr>
            <w:r w:rsidRPr="00DF6F04">
              <w:rPr>
                <w:rFonts w:ascii="Arial" w:hAnsi="Arial" w:cs="Arial"/>
                <w:i w:val="0"/>
                <w:color w:val="2F5496" w:themeColor="accent1" w:themeShade="BF"/>
                <w:sz w:val="24"/>
                <w:szCs w:val="24"/>
              </w:rPr>
              <w:t>Principle 4 Performance assessment:</w:t>
            </w:r>
          </w:p>
          <w:p w:rsidR="00A76E9D" w:rsidRPr="00DF6F04" w:rsidRDefault="00A76E9D" w:rsidP="00A76E9D">
            <w:pPr>
              <w:pStyle w:val="BodyText"/>
              <w:numPr>
                <w:ilvl w:val="0"/>
                <w:numId w:val="7"/>
              </w:numPr>
              <w:spacing w:before="20" w:after="200" w:line="280" w:lineRule="atLeast"/>
              <w:ind w:left="284" w:hanging="284"/>
              <w:rPr>
                <w:rFonts w:ascii="Arial" w:hAnsi="Arial" w:cs="Arial"/>
                <w:caps/>
                <w:szCs w:val="24"/>
              </w:rPr>
            </w:pPr>
            <w:r w:rsidRPr="00DF6F04">
              <w:rPr>
                <w:rFonts w:ascii="Arial" w:hAnsi="Arial" w:cs="Arial"/>
                <w:bCs/>
                <w:szCs w:val="24"/>
              </w:rPr>
              <w:t xml:space="preserve">Arrangements should be in place for the formal measurement of performance of the investments, investment managers and advisers. </w:t>
            </w:r>
          </w:p>
          <w:p w:rsidR="00A76E9D" w:rsidRPr="00DF6F04" w:rsidRDefault="00A76E9D" w:rsidP="00A76E9D">
            <w:pPr>
              <w:pStyle w:val="BodyText"/>
              <w:numPr>
                <w:ilvl w:val="0"/>
                <w:numId w:val="7"/>
              </w:numPr>
              <w:spacing w:before="20" w:after="200" w:line="280" w:lineRule="atLeast"/>
              <w:ind w:left="284" w:hanging="284"/>
              <w:rPr>
                <w:rFonts w:ascii="Arial" w:hAnsi="Arial" w:cs="Arial"/>
                <w:szCs w:val="24"/>
                <w:lang w:eastAsia="en-GB"/>
              </w:rPr>
            </w:pPr>
            <w:r w:rsidRPr="00DF6F04">
              <w:rPr>
                <w:rFonts w:ascii="Arial" w:hAnsi="Arial" w:cs="Arial"/>
                <w:bCs/>
                <w:szCs w:val="24"/>
              </w:rPr>
              <w:t>Administering authorities should also periodically make a formal assessment of their own effectiveness as a decision-making body and report on this to scheme members.</w:t>
            </w:r>
          </w:p>
        </w:tc>
        <w:tc>
          <w:tcPr>
            <w:tcW w:w="2732" w:type="pct"/>
          </w:tcPr>
          <w:p w:rsidR="00A76E9D" w:rsidRPr="00DF6F04" w:rsidRDefault="00A76E9D" w:rsidP="00007D43">
            <w:pPr>
              <w:pStyle w:val="Heading4"/>
              <w:rPr>
                <w:rFonts w:ascii="Arial" w:hAnsi="Arial" w:cs="Arial"/>
                <w:i w:val="0"/>
                <w:color w:val="2F5496" w:themeColor="accent1" w:themeShade="BF"/>
                <w:sz w:val="24"/>
                <w:szCs w:val="24"/>
              </w:rPr>
            </w:pPr>
            <w:r w:rsidRPr="00DF6F04">
              <w:rPr>
                <w:rFonts w:ascii="Arial" w:hAnsi="Arial" w:cs="Arial"/>
                <w:i w:val="0"/>
                <w:color w:val="2F5496" w:themeColor="accent1" w:themeShade="BF"/>
                <w:sz w:val="24"/>
                <w:szCs w:val="24"/>
              </w:rPr>
              <w:t xml:space="preserve">Compliant </w:t>
            </w:r>
          </w:p>
          <w:p w:rsidR="00A76E9D" w:rsidRPr="00DF6F04" w:rsidRDefault="00A76E9D" w:rsidP="00007D43">
            <w:pPr>
              <w:pStyle w:val="BodyTextGrey"/>
              <w:rPr>
                <w:color w:val="auto"/>
                <w:sz w:val="24"/>
                <w:szCs w:val="24"/>
              </w:rPr>
            </w:pPr>
            <w:r w:rsidRPr="00DF6F04">
              <w:rPr>
                <w:color w:val="auto"/>
                <w:sz w:val="24"/>
                <w:szCs w:val="24"/>
              </w:rPr>
              <w:t>The performance of the Fund and its individual managers are monitored on a regular basis</w:t>
            </w:r>
            <w:r w:rsidRPr="00DF6F04">
              <w:rPr>
                <w:i/>
                <w:color w:val="auto"/>
                <w:sz w:val="24"/>
                <w:szCs w:val="24"/>
              </w:rPr>
              <w:t>.</w:t>
            </w:r>
            <w:r w:rsidRPr="00DF6F04">
              <w:rPr>
                <w:color w:val="auto"/>
                <w:sz w:val="24"/>
                <w:szCs w:val="24"/>
              </w:rPr>
              <w:t xml:space="preserve"> </w:t>
            </w:r>
          </w:p>
          <w:p w:rsidR="00A76E9D" w:rsidRPr="00DF6F04" w:rsidRDefault="00A76E9D" w:rsidP="00007D43">
            <w:pPr>
              <w:pStyle w:val="BodyTextGrey"/>
              <w:rPr>
                <w:color w:val="000000" w:themeColor="text1"/>
                <w:sz w:val="24"/>
                <w:szCs w:val="24"/>
              </w:rPr>
            </w:pPr>
            <w:r w:rsidRPr="00DF6F04">
              <w:rPr>
                <w:color w:val="auto"/>
                <w:sz w:val="24"/>
                <w:szCs w:val="24"/>
              </w:rPr>
              <w:t xml:space="preserve">The quality of advisers is assessed on a qualitative basis but is not formally measured. </w:t>
            </w:r>
            <w:r w:rsidRPr="00DF6F04">
              <w:rPr>
                <w:color w:val="000000" w:themeColor="text1"/>
                <w:sz w:val="24"/>
                <w:szCs w:val="24"/>
              </w:rPr>
              <w:t>Advisers are subject to periodic re</w:t>
            </w:r>
            <w:r w:rsidRPr="00DF6F04">
              <w:rPr>
                <w:rFonts w:ascii="Cambria Math" w:hAnsi="Cambria Math"/>
                <w:color w:val="000000" w:themeColor="text1"/>
                <w:sz w:val="24"/>
                <w:szCs w:val="24"/>
              </w:rPr>
              <w:t>‐</w:t>
            </w:r>
            <w:r w:rsidRPr="00DF6F04">
              <w:rPr>
                <w:color w:val="000000" w:themeColor="text1"/>
                <w:sz w:val="24"/>
                <w:szCs w:val="24"/>
              </w:rPr>
              <w:t>tender.</w:t>
            </w:r>
          </w:p>
          <w:p w:rsidR="00A76E9D" w:rsidRPr="00DF6F04" w:rsidRDefault="00A76E9D" w:rsidP="00007D43">
            <w:pPr>
              <w:pStyle w:val="BodyTextGrey"/>
              <w:rPr>
                <w:i/>
                <w:color w:val="000000" w:themeColor="text1"/>
                <w:sz w:val="24"/>
                <w:szCs w:val="24"/>
              </w:rPr>
            </w:pPr>
            <w:r w:rsidRPr="00DF6F04">
              <w:rPr>
                <w:i/>
                <w:color w:val="000000" w:themeColor="text1"/>
                <w:sz w:val="24"/>
                <w:szCs w:val="24"/>
              </w:rPr>
              <w:t xml:space="preserve">The Fund’s contracts with its advisers are regularly market tested.  </w:t>
            </w:r>
          </w:p>
          <w:p w:rsidR="00A76E9D" w:rsidRPr="00DF6F04" w:rsidRDefault="00A76E9D" w:rsidP="00007D43">
            <w:pPr>
              <w:pStyle w:val="BodyTextGrey"/>
              <w:rPr>
                <w:i/>
                <w:color w:val="auto"/>
                <w:sz w:val="24"/>
                <w:szCs w:val="24"/>
              </w:rPr>
            </w:pPr>
            <w:r w:rsidRPr="00DF6F04">
              <w:rPr>
                <w:i/>
                <w:color w:val="auto"/>
                <w:sz w:val="24"/>
                <w:szCs w:val="24"/>
              </w:rPr>
              <w:t>The Pension Panel will carry out a formal process to measure its own effectiveness and will report this to the Pensions Panel on a regular basis.</w:t>
            </w:r>
          </w:p>
          <w:p w:rsidR="00A76E9D" w:rsidRPr="00DF6F04" w:rsidRDefault="00A76E9D" w:rsidP="00007D43">
            <w:pPr>
              <w:pStyle w:val="BodyTextGrey"/>
              <w:rPr>
                <w:color w:val="auto"/>
                <w:sz w:val="24"/>
                <w:szCs w:val="24"/>
                <w:lang w:eastAsia="en-GB"/>
              </w:rPr>
            </w:pPr>
            <w:r w:rsidRPr="00DF6F04">
              <w:rPr>
                <w:i/>
                <w:sz w:val="24"/>
                <w:szCs w:val="24"/>
              </w:rPr>
              <w:t>Training and attendance of members of the Pensions Panel are monitored and reported on annually.</w:t>
            </w:r>
            <w:r w:rsidRPr="00DF6F04">
              <w:rPr>
                <w:sz w:val="24"/>
                <w:szCs w:val="24"/>
              </w:rPr>
              <w:t xml:space="preserve">  </w:t>
            </w:r>
          </w:p>
        </w:tc>
      </w:tr>
      <w:tr w:rsidR="00A76E9D" w:rsidRPr="00DF6F04" w:rsidTr="00007D43">
        <w:tc>
          <w:tcPr>
            <w:tcW w:w="2268" w:type="pct"/>
          </w:tcPr>
          <w:p w:rsidR="00A76E9D" w:rsidRPr="00DF6F04" w:rsidRDefault="00A76E9D" w:rsidP="00007D43">
            <w:pPr>
              <w:pStyle w:val="Heading4"/>
              <w:rPr>
                <w:rFonts w:ascii="Arial" w:hAnsi="Arial" w:cs="Arial"/>
                <w:i w:val="0"/>
                <w:color w:val="2F5496" w:themeColor="accent1" w:themeShade="BF"/>
                <w:sz w:val="24"/>
                <w:szCs w:val="24"/>
              </w:rPr>
            </w:pPr>
            <w:r w:rsidRPr="00DF6F04">
              <w:rPr>
                <w:rFonts w:ascii="Arial" w:hAnsi="Arial" w:cs="Arial"/>
                <w:i w:val="0"/>
                <w:color w:val="2F5496" w:themeColor="accent1" w:themeShade="BF"/>
                <w:sz w:val="24"/>
                <w:szCs w:val="24"/>
              </w:rPr>
              <w:t>Principle 5 Responsible Ownership:</w:t>
            </w:r>
          </w:p>
          <w:p w:rsidR="00A76E9D" w:rsidRPr="00B27080" w:rsidRDefault="00A76E9D" w:rsidP="00007D43">
            <w:pPr>
              <w:pStyle w:val="BodyText"/>
              <w:spacing w:after="200"/>
              <w:rPr>
                <w:rFonts w:ascii="Arial" w:hAnsi="Arial" w:cs="Arial"/>
                <w:szCs w:val="24"/>
              </w:rPr>
            </w:pPr>
            <w:r w:rsidRPr="00DF6F04">
              <w:rPr>
                <w:rFonts w:ascii="Arial" w:hAnsi="Arial" w:cs="Arial"/>
                <w:szCs w:val="24"/>
              </w:rPr>
              <w:t xml:space="preserve">Administering authorities should </w:t>
            </w:r>
            <w:r w:rsidRPr="00DF6F04">
              <w:rPr>
                <w:rFonts w:ascii="Arial" w:hAnsi="Arial" w:cs="Arial"/>
                <w:bCs/>
                <w:szCs w:val="24"/>
              </w:rPr>
              <w:t xml:space="preserve">  </w:t>
            </w:r>
          </w:p>
          <w:p w:rsidR="00A76E9D" w:rsidRPr="00B27080" w:rsidRDefault="00A76E9D" w:rsidP="00A76E9D">
            <w:pPr>
              <w:pStyle w:val="BodyText"/>
              <w:numPr>
                <w:ilvl w:val="0"/>
                <w:numId w:val="7"/>
              </w:numPr>
              <w:spacing w:before="20" w:after="200" w:line="280" w:lineRule="atLeast"/>
              <w:ind w:left="284" w:hanging="284"/>
              <w:rPr>
                <w:rFonts w:ascii="Arial" w:hAnsi="Arial" w:cs="Arial"/>
                <w:bCs/>
                <w:szCs w:val="24"/>
              </w:rPr>
            </w:pPr>
            <w:r w:rsidRPr="00B27080">
              <w:rPr>
                <w:rFonts w:ascii="Arial" w:hAnsi="Arial" w:cs="Arial"/>
                <w:bCs/>
                <w:szCs w:val="24"/>
              </w:rPr>
              <w:t>recognise, and ensure that their partners in the investment chain adopt, the FRC’s UK Stewardship Code</w:t>
            </w:r>
          </w:p>
          <w:p w:rsidR="00A76E9D" w:rsidRPr="00B27080" w:rsidRDefault="00A76E9D" w:rsidP="00A76E9D">
            <w:pPr>
              <w:pStyle w:val="BodyText"/>
              <w:numPr>
                <w:ilvl w:val="0"/>
                <w:numId w:val="7"/>
              </w:numPr>
              <w:spacing w:before="20" w:after="200" w:line="280" w:lineRule="atLeast"/>
              <w:ind w:left="284" w:hanging="284"/>
              <w:rPr>
                <w:rFonts w:ascii="Arial" w:hAnsi="Arial" w:cs="Arial"/>
                <w:bCs/>
                <w:szCs w:val="24"/>
              </w:rPr>
            </w:pPr>
            <w:r w:rsidRPr="00B27080">
              <w:rPr>
                <w:rFonts w:ascii="Arial" w:hAnsi="Arial" w:cs="Arial"/>
                <w:bCs/>
                <w:szCs w:val="24"/>
              </w:rPr>
              <w:lastRenderedPageBreak/>
              <w:t xml:space="preserve">include a statement of their policy on responsible ownership in the Investment Strategy Statement.  </w:t>
            </w:r>
          </w:p>
          <w:p w:rsidR="00A76E9D" w:rsidRPr="00DF6F04" w:rsidRDefault="00A76E9D" w:rsidP="00A76E9D">
            <w:pPr>
              <w:pStyle w:val="BodyText"/>
              <w:numPr>
                <w:ilvl w:val="0"/>
                <w:numId w:val="7"/>
              </w:numPr>
              <w:spacing w:before="20" w:after="200" w:line="280" w:lineRule="atLeast"/>
              <w:ind w:left="284" w:hanging="284"/>
              <w:rPr>
                <w:rFonts w:ascii="Arial" w:hAnsi="Arial" w:cs="Arial"/>
                <w:szCs w:val="24"/>
                <w:lang w:eastAsia="en-GB"/>
              </w:rPr>
            </w:pPr>
            <w:r w:rsidRPr="00B27080">
              <w:rPr>
                <w:rFonts w:ascii="Arial" w:hAnsi="Arial" w:cs="Arial"/>
                <w:bCs/>
                <w:szCs w:val="24"/>
              </w:rPr>
              <w:t>Report periodically to scheme members on the discharge of such responsibilities.</w:t>
            </w:r>
          </w:p>
        </w:tc>
        <w:tc>
          <w:tcPr>
            <w:tcW w:w="2732" w:type="pct"/>
          </w:tcPr>
          <w:p w:rsidR="00A76E9D" w:rsidRPr="00DF6F04" w:rsidRDefault="00A76E9D" w:rsidP="00007D43">
            <w:pPr>
              <w:pStyle w:val="Heading4"/>
              <w:rPr>
                <w:rFonts w:ascii="Arial" w:hAnsi="Arial" w:cs="Arial"/>
                <w:color w:val="2F5496" w:themeColor="accent1" w:themeShade="BF"/>
                <w:sz w:val="24"/>
                <w:szCs w:val="24"/>
              </w:rPr>
            </w:pPr>
            <w:r w:rsidRPr="00DF6F04">
              <w:rPr>
                <w:rFonts w:ascii="Arial" w:hAnsi="Arial" w:cs="Arial"/>
                <w:color w:val="2F5496" w:themeColor="accent1" w:themeShade="BF"/>
                <w:sz w:val="24"/>
                <w:szCs w:val="24"/>
              </w:rPr>
              <w:lastRenderedPageBreak/>
              <w:t xml:space="preserve">Compliant </w:t>
            </w:r>
          </w:p>
          <w:p w:rsidR="00A76E9D" w:rsidRPr="00B27080" w:rsidRDefault="00A76E9D" w:rsidP="00007D43">
            <w:pPr>
              <w:pStyle w:val="BodyTextGrey"/>
              <w:rPr>
                <w:color w:val="auto"/>
                <w:sz w:val="24"/>
                <w:szCs w:val="24"/>
              </w:rPr>
            </w:pPr>
            <w:r w:rsidRPr="00B27080">
              <w:rPr>
                <w:color w:val="auto"/>
                <w:sz w:val="24"/>
                <w:szCs w:val="24"/>
              </w:rPr>
              <w:t>The Pensions Panel encourages its investment managers to adopt the Financial Reporting Council (FRC’s) UK Stewardship Code but not all managers may necessarily comply fully with the Code’s principles</w:t>
            </w:r>
          </w:p>
          <w:p w:rsidR="00A76E9D" w:rsidRPr="00B27080" w:rsidRDefault="00A76E9D" w:rsidP="00007D43">
            <w:pPr>
              <w:pStyle w:val="BodyTextGrey"/>
              <w:rPr>
                <w:color w:val="auto"/>
                <w:sz w:val="24"/>
                <w:szCs w:val="24"/>
              </w:rPr>
            </w:pPr>
            <w:r w:rsidRPr="00B27080">
              <w:rPr>
                <w:color w:val="auto"/>
                <w:sz w:val="24"/>
                <w:szCs w:val="24"/>
              </w:rPr>
              <w:t>This Investment Strategy Statement includes a statement on the Fund’s policy on responsible ownership.</w:t>
            </w:r>
          </w:p>
          <w:p w:rsidR="00A76E9D" w:rsidRPr="00B27080" w:rsidRDefault="00A76E9D" w:rsidP="00007D43">
            <w:pPr>
              <w:pStyle w:val="BodyTextGrey"/>
              <w:rPr>
                <w:color w:val="auto"/>
                <w:sz w:val="24"/>
                <w:szCs w:val="24"/>
              </w:rPr>
            </w:pPr>
            <w:r w:rsidRPr="00B27080">
              <w:rPr>
                <w:color w:val="auto"/>
                <w:sz w:val="24"/>
                <w:szCs w:val="24"/>
              </w:rPr>
              <w:lastRenderedPageBreak/>
              <w:t xml:space="preserve">The Fund has determined to become a Signatory to the FRC Code in accordance with the Statutory Guidance issued by the DCLG in September 2016 </w:t>
            </w:r>
            <w:r w:rsidRPr="00DF6F04">
              <w:rPr>
                <w:color w:val="auto"/>
                <w:sz w:val="24"/>
                <w:szCs w:val="24"/>
              </w:rPr>
              <w:t xml:space="preserve">. </w:t>
            </w:r>
          </w:p>
        </w:tc>
      </w:tr>
      <w:tr w:rsidR="00A76E9D" w:rsidRPr="00DF6F04" w:rsidTr="00007D43">
        <w:tc>
          <w:tcPr>
            <w:tcW w:w="2268" w:type="pct"/>
          </w:tcPr>
          <w:p w:rsidR="00A76E9D" w:rsidRPr="00DF6F04" w:rsidRDefault="00A76E9D" w:rsidP="00007D43">
            <w:pPr>
              <w:pStyle w:val="Default"/>
              <w:spacing w:before="20" w:after="200" w:line="280" w:lineRule="atLeast"/>
              <w:rPr>
                <w:b/>
                <w:color w:val="2F5496" w:themeColor="accent1" w:themeShade="BF"/>
              </w:rPr>
            </w:pPr>
            <w:r w:rsidRPr="00DF6F04">
              <w:rPr>
                <w:b/>
                <w:color w:val="2F5496" w:themeColor="accent1" w:themeShade="BF"/>
              </w:rPr>
              <w:lastRenderedPageBreak/>
              <w:t>Principle 6  Transparency and Reporting:</w:t>
            </w:r>
          </w:p>
          <w:p w:rsidR="00A76E9D" w:rsidRPr="00DF6F04" w:rsidRDefault="00A76E9D" w:rsidP="00007D43">
            <w:pPr>
              <w:pStyle w:val="Default"/>
              <w:spacing w:before="20" w:after="200" w:line="280" w:lineRule="atLeast"/>
              <w:rPr>
                <w:color w:val="auto"/>
              </w:rPr>
            </w:pPr>
            <w:r w:rsidRPr="00DF6F04">
              <w:rPr>
                <w:color w:val="auto"/>
              </w:rPr>
              <w:t xml:space="preserve">Administering authorities should </w:t>
            </w:r>
          </w:p>
          <w:p w:rsidR="00A76E9D" w:rsidRPr="00DF6F04" w:rsidRDefault="00A76E9D" w:rsidP="00A76E9D">
            <w:pPr>
              <w:pStyle w:val="BodyText"/>
              <w:numPr>
                <w:ilvl w:val="0"/>
                <w:numId w:val="7"/>
              </w:numPr>
              <w:spacing w:before="20" w:after="200" w:line="280" w:lineRule="atLeast"/>
              <w:ind w:left="284" w:hanging="284"/>
              <w:rPr>
                <w:rFonts w:ascii="Arial" w:hAnsi="Arial" w:cs="Arial"/>
                <w:bCs/>
                <w:szCs w:val="24"/>
              </w:rPr>
            </w:pPr>
            <w:r w:rsidRPr="00DF6F04">
              <w:rPr>
                <w:rFonts w:ascii="Arial" w:hAnsi="Arial" w:cs="Arial"/>
                <w:bCs/>
                <w:szCs w:val="24"/>
              </w:rPr>
              <w:t>act in a transparent manner, communicating with stakeholders on issues relating to their management of investment, its governance and risks, including performance against stated objectives.</w:t>
            </w:r>
          </w:p>
          <w:p w:rsidR="00A76E9D" w:rsidRPr="00DF6F04" w:rsidRDefault="00A76E9D" w:rsidP="00A76E9D">
            <w:pPr>
              <w:pStyle w:val="BodyText"/>
              <w:numPr>
                <w:ilvl w:val="0"/>
                <w:numId w:val="7"/>
              </w:numPr>
              <w:spacing w:before="20" w:after="200" w:line="280" w:lineRule="atLeast"/>
              <w:ind w:left="284" w:hanging="284"/>
              <w:rPr>
                <w:rFonts w:ascii="Arial" w:hAnsi="Arial" w:cs="Arial"/>
                <w:szCs w:val="24"/>
                <w:lang w:eastAsia="en-GB"/>
              </w:rPr>
            </w:pPr>
            <w:r w:rsidRPr="00DF6F04">
              <w:rPr>
                <w:rFonts w:ascii="Arial" w:hAnsi="Arial" w:cs="Arial"/>
                <w:bCs/>
                <w:szCs w:val="24"/>
              </w:rPr>
              <w:t>Should provide regular communication to scheme members in the form they consider most appropriate.</w:t>
            </w:r>
          </w:p>
        </w:tc>
        <w:tc>
          <w:tcPr>
            <w:tcW w:w="2732" w:type="pct"/>
          </w:tcPr>
          <w:p w:rsidR="00A76E9D" w:rsidRPr="00DF6F04" w:rsidRDefault="00A76E9D" w:rsidP="00007D43">
            <w:pPr>
              <w:pStyle w:val="Heading4"/>
              <w:rPr>
                <w:rFonts w:ascii="Arial" w:hAnsi="Arial" w:cs="Arial"/>
                <w:i w:val="0"/>
                <w:color w:val="2F5496" w:themeColor="accent1" w:themeShade="BF"/>
                <w:sz w:val="24"/>
                <w:szCs w:val="24"/>
              </w:rPr>
            </w:pPr>
            <w:r w:rsidRPr="00DF6F04">
              <w:rPr>
                <w:rFonts w:ascii="Arial" w:hAnsi="Arial" w:cs="Arial"/>
                <w:i w:val="0"/>
                <w:color w:val="2F5496" w:themeColor="accent1" w:themeShade="BF"/>
                <w:sz w:val="24"/>
                <w:szCs w:val="24"/>
              </w:rPr>
              <w:t xml:space="preserve">Compliant </w:t>
            </w:r>
          </w:p>
          <w:p w:rsidR="00A76E9D" w:rsidRPr="00DF6F04" w:rsidRDefault="00A76E9D" w:rsidP="00007D43">
            <w:pPr>
              <w:pStyle w:val="BodyTextGrey"/>
              <w:rPr>
                <w:color w:val="auto"/>
                <w:sz w:val="24"/>
                <w:szCs w:val="24"/>
              </w:rPr>
            </w:pPr>
            <w:r w:rsidRPr="00DF6F04">
              <w:rPr>
                <w:color w:val="auto"/>
                <w:sz w:val="24"/>
                <w:szCs w:val="24"/>
              </w:rPr>
              <w:t xml:space="preserve">The Pension Panel maintains minutes of meetings which are available on the Council website. </w:t>
            </w:r>
          </w:p>
          <w:p w:rsidR="00A76E9D" w:rsidRPr="00DF6F04" w:rsidRDefault="00A76E9D" w:rsidP="00007D43">
            <w:pPr>
              <w:pStyle w:val="BodyTextGrey"/>
              <w:rPr>
                <w:color w:val="auto"/>
                <w:sz w:val="24"/>
                <w:szCs w:val="24"/>
              </w:rPr>
            </w:pPr>
            <w:r w:rsidRPr="00DF6F04">
              <w:rPr>
                <w:color w:val="auto"/>
                <w:sz w:val="24"/>
                <w:szCs w:val="24"/>
              </w:rPr>
              <w:t xml:space="preserve">The Council holds a formal annual meeting for members and also meets periodically with sponsoring employer bodies. A member representative attends Panel meetings. </w:t>
            </w:r>
          </w:p>
          <w:p w:rsidR="00A76E9D" w:rsidRPr="00DF6F04" w:rsidRDefault="00A76E9D" w:rsidP="00007D43">
            <w:pPr>
              <w:pStyle w:val="BodyTextGrey"/>
              <w:rPr>
                <w:color w:val="auto"/>
                <w:sz w:val="24"/>
                <w:szCs w:val="24"/>
                <w:lang w:eastAsia="en-GB"/>
              </w:rPr>
            </w:pPr>
            <w:r w:rsidRPr="00DF6F04">
              <w:rPr>
                <w:color w:val="auto"/>
                <w:sz w:val="24"/>
                <w:szCs w:val="24"/>
              </w:rPr>
              <w:t xml:space="preserve">The </w:t>
            </w:r>
            <w:r>
              <w:rPr>
                <w:color w:val="auto"/>
                <w:sz w:val="24"/>
                <w:szCs w:val="24"/>
              </w:rPr>
              <w:t>Investment Strategy Statement</w:t>
            </w:r>
            <w:r w:rsidRPr="00DF6F04">
              <w:rPr>
                <w:color w:val="auto"/>
                <w:sz w:val="24"/>
                <w:szCs w:val="24"/>
              </w:rPr>
              <w:t xml:space="preserve"> is published on the Council website and is available to members on request. Other information on the Scheme is available to members on the Council website.</w:t>
            </w:r>
          </w:p>
        </w:tc>
      </w:tr>
    </w:tbl>
    <w:p w:rsidR="00A76E9D" w:rsidRPr="00DF6F04" w:rsidRDefault="00A76E9D" w:rsidP="00A76E9D">
      <w:pPr>
        <w:pStyle w:val="BodyTextGrey"/>
        <w:spacing w:after="0"/>
        <w:jc w:val="both"/>
        <w:rPr>
          <w:color w:val="auto"/>
          <w:sz w:val="24"/>
          <w:szCs w:val="24"/>
        </w:rPr>
      </w:pPr>
    </w:p>
    <w:p w:rsidR="00A76E9D" w:rsidRPr="00DF6F04" w:rsidRDefault="00A76E9D" w:rsidP="00A76E9D">
      <w:pPr>
        <w:pStyle w:val="BodyTextGrey"/>
        <w:spacing w:after="0"/>
        <w:jc w:val="both"/>
        <w:rPr>
          <w:color w:val="auto"/>
          <w:sz w:val="24"/>
          <w:szCs w:val="24"/>
          <w:lang w:eastAsia="en-GB"/>
        </w:rPr>
      </w:pPr>
      <w:r w:rsidRPr="00DF6F04">
        <w:rPr>
          <w:color w:val="auto"/>
          <w:sz w:val="24"/>
          <w:szCs w:val="24"/>
          <w:lang w:eastAsia="en-GB"/>
        </w:rPr>
        <w:t>:</w:t>
      </w:r>
    </w:p>
    <w:p w:rsidR="00A76E9D" w:rsidRPr="00DF6F04" w:rsidRDefault="00A76E9D" w:rsidP="00A76E9D">
      <w:pPr>
        <w:pStyle w:val="BodyTextGrey"/>
        <w:spacing w:after="0"/>
        <w:jc w:val="both"/>
        <w:rPr>
          <w:color w:val="auto"/>
          <w:sz w:val="24"/>
          <w:szCs w:val="24"/>
          <w:lang w:eastAsia="en-GB"/>
        </w:rPr>
      </w:pPr>
    </w:p>
    <w:p w:rsidR="00A76E9D" w:rsidRPr="00DF6F04" w:rsidRDefault="00A76E9D" w:rsidP="00A76E9D">
      <w:pPr>
        <w:pStyle w:val="Appendix1"/>
        <w:rPr>
          <w:rFonts w:cs="Arial"/>
          <w:b/>
          <w:color w:val="auto"/>
          <w:sz w:val="24"/>
          <w:szCs w:val="24"/>
        </w:rPr>
      </w:pPr>
      <w:bookmarkStart w:id="3" w:name="StartOfDocument"/>
      <w:bookmarkStart w:id="4" w:name="MainHeading"/>
      <w:bookmarkEnd w:id="3"/>
      <w:bookmarkEnd w:id="4"/>
      <w:r w:rsidRPr="00DF6F04">
        <w:rPr>
          <w:rFonts w:cs="Arial"/>
          <w:b/>
          <w:color w:val="auto"/>
          <w:sz w:val="24"/>
          <w:szCs w:val="24"/>
        </w:rPr>
        <w:lastRenderedPageBreak/>
        <w:t>Appendix B:  Strategic Asset Allocation</w:t>
      </w:r>
    </w:p>
    <w:p w:rsidR="00A76E9D" w:rsidRPr="00DF6F04" w:rsidRDefault="00A76E9D" w:rsidP="00A76E9D">
      <w:pPr>
        <w:pStyle w:val="BodyTextGrey"/>
        <w:jc w:val="both"/>
        <w:rPr>
          <w:i/>
          <w:color w:val="auto"/>
          <w:sz w:val="24"/>
          <w:szCs w:val="24"/>
        </w:rPr>
      </w:pPr>
      <w:r w:rsidRPr="00DF6F04">
        <w:rPr>
          <w:i/>
          <w:color w:val="auto"/>
          <w:sz w:val="24"/>
          <w:szCs w:val="24"/>
        </w:rPr>
        <w:t>The strategic asset allocation of the Fund, together with control ranges and the benchmark index for each asset class is as follows:</w:t>
      </w:r>
    </w:p>
    <w:tbl>
      <w:tblPr>
        <w:tblW w:w="9947" w:type="dxa"/>
        <w:tblInd w:w="-34" w:type="dxa"/>
        <w:tblLayout w:type="fixed"/>
        <w:tblLook w:val="04A0" w:firstRow="1" w:lastRow="0" w:firstColumn="1" w:lastColumn="0" w:noHBand="0" w:noVBand="1"/>
      </w:tblPr>
      <w:tblGrid>
        <w:gridCol w:w="3852"/>
        <w:gridCol w:w="1417"/>
        <w:gridCol w:w="1342"/>
        <w:gridCol w:w="3336"/>
      </w:tblGrid>
      <w:tr w:rsidR="00A76E9D" w:rsidRPr="00DF6F04" w:rsidTr="00007D43">
        <w:trPr>
          <w:trHeight w:val="475"/>
        </w:trPr>
        <w:tc>
          <w:tcPr>
            <w:tcW w:w="385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themeColor="text1"/>
                <w:sz w:val="22"/>
                <w:szCs w:val="22"/>
              </w:rPr>
              <w:t>Asset Class</w:t>
            </w:r>
          </w:p>
        </w:tc>
        <w:tc>
          <w:tcPr>
            <w:tcW w:w="1417" w:type="dxa"/>
            <w:tcBorders>
              <w:top w:val="single" w:sz="8" w:space="0" w:color="auto"/>
              <w:left w:val="nil"/>
              <w:bottom w:val="nil"/>
              <w:right w:val="single" w:sz="8" w:space="0" w:color="auto"/>
            </w:tcBorders>
            <w:shd w:val="clear" w:color="auto" w:fill="auto"/>
            <w:hideMark/>
          </w:tcPr>
          <w:p w:rsidR="00A76E9D" w:rsidRPr="000A749C" w:rsidRDefault="00A76E9D" w:rsidP="00007D43">
            <w:pPr>
              <w:jc w:val="center"/>
              <w:rPr>
                <w:rFonts w:ascii="Arial" w:hAnsi="Arial" w:cs="Arial"/>
                <w:b/>
                <w:bCs/>
                <w:i/>
                <w:color w:val="000000" w:themeColor="text1"/>
              </w:rPr>
            </w:pPr>
            <w:r w:rsidRPr="000A749C">
              <w:rPr>
                <w:rFonts w:ascii="Arial" w:hAnsi="Arial" w:cs="Arial"/>
                <w:b/>
                <w:bCs/>
                <w:i/>
                <w:color w:val="000000" w:themeColor="text1"/>
                <w:sz w:val="22"/>
                <w:szCs w:val="22"/>
              </w:rPr>
              <w:t>Strategic Allocation</w:t>
            </w:r>
          </w:p>
          <w:p w:rsidR="00A76E9D" w:rsidRPr="000A749C" w:rsidRDefault="00A76E9D" w:rsidP="00007D43">
            <w:pPr>
              <w:jc w:val="center"/>
              <w:rPr>
                <w:rFonts w:ascii="Arial" w:hAnsi="Arial" w:cs="Arial"/>
                <w:b/>
                <w:bCs/>
                <w:i/>
                <w:color w:val="000000"/>
              </w:rPr>
            </w:pPr>
            <w:r>
              <w:rPr>
                <w:rFonts w:ascii="Arial" w:hAnsi="Arial" w:cs="Arial"/>
                <w:b/>
                <w:bCs/>
                <w:i/>
                <w:color w:val="000000" w:themeColor="text1"/>
                <w:sz w:val="22"/>
                <w:szCs w:val="22"/>
              </w:rPr>
              <w:t>15 June 2017</w:t>
            </w:r>
          </w:p>
        </w:tc>
        <w:tc>
          <w:tcPr>
            <w:tcW w:w="1342" w:type="dxa"/>
            <w:tcBorders>
              <w:top w:val="single" w:sz="8" w:space="0" w:color="auto"/>
              <w:left w:val="nil"/>
              <w:bottom w:val="nil"/>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themeColor="text1"/>
                <w:sz w:val="22"/>
                <w:szCs w:val="22"/>
              </w:rPr>
              <w:t>Strategy Control Range</w:t>
            </w:r>
          </w:p>
        </w:tc>
        <w:tc>
          <w:tcPr>
            <w:tcW w:w="3336"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themeColor="text1"/>
                <w:sz w:val="22"/>
                <w:szCs w:val="22"/>
              </w:rPr>
              <w:t>Benchmark Index</w:t>
            </w:r>
          </w:p>
        </w:tc>
      </w:tr>
      <w:tr w:rsidR="00A76E9D" w:rsidRPr="00DF6F04" w:rsidTr="00007D43">
        <w:trPr>
          <w:trHeight w:val="166"/>
        </w:trPr>
        <w:tc>
          <w:tcPr>
            <w:tcW w:w="38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76E9D" w:rsidRPr="000A749C" w:rsidRDefault="00A76E9D" w:rsidP="00007D43">
            <w:pPr>
              <w:rPr>
                <w:rFonts w:ascii="Arial" w:hAnsi="Arial" w:cs="Arial"/>
                <w:b/>
                <w:bCs/>
                <w:i/>
                <w:color w:val="000000"/>
              </w:rPr>
            </w:pPr>
          </w:p>
        </w:tc>
        <w:tc>
          <w:tcPr>
            <w:tcW w:w="1417"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themeColor="text1"/>
                <w:sz w:val="22"/>
                <w:szCs w:val="22"/>
              </w:rPr>
              <w:t>%</w:t>
            </w:r>
          </w:p>
        </w:tc>
        <w:tc>
          <w:tcPr>
            <w:tcW w:w="1342"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themeColor="text1"/>
                <w:sz w:val="22"/>
                <w:szCs w:val="22"/>
              </w:rPr>
              <w:t>%</w:t>
            </w:r>
          </w:p>
        </w:tc>
        <w:tc>
          <w:tcPr>
            <w:tcW w:w="3336"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A76E9D" w:rsidRPr="000A749C" w:rsidRDefault="00A76E9D" w:rsidP="00007D43">
            <w:pPr>
              <w:rPr>
                <w:rFonts w:ascii="Arial" w:hAnsi="Arial" w:cs="Arial"/>
                <w:b/>
                <w:bCs/>
                <w:i/>
                <w:color w:val="000000"/>
              </w:rPr>
            </w:pPr>
          </w:p>
        </w:tc>
      </w:tr>
      <w:tr w:rsidR="00A76E9D" w:rsidRPr="00DF6F04" w:rsidTr="00007D43">
        <w:trPr>
          <w:trHeight w:val="166"/>
        </w:trPr>
        <w:tc>
          <w:tcPr>
            <w:tcW w:w="3852" w:type="dxa"/>
            <w:tcBorders>
              <w:top w:val="nil"/>
              <w:left w:val="single" w:sz="8" w:space="0" w:color="auto"/>
              <w:bottom w:val="single" w:sz="8" w:space="0" w:color="auto"/>
              <w:right w:val="single" w:sz="8" w:space="0" w:color="auto"/>
            </w:tcBorders>
            <w:shd w:val="clear" w:color="auto" w:fill="auto"/>
            <w:hideMark/>
          </w:tcPr>
          <w:p w:rsidR="00A76E9D" w:rsidRPr="006D5D9B" w:rsidRDefault="00A76E9D" w:rsidP="00007D43">
            <w:pPr>
              <w:rPr>
                <w:rFonts w:ascii="Arial" w:hAnsi="Arial" w:cs="Arial"/>
                <w:b/>
                <w:i/>
                <w:color w:val="000000"/>
              </w:rPr>
            </w:pPr>
            <w:r w:rsidRPr="006D5D9B">
              <w:rPr>
                <w:rFonts w:ascii="Arial" w:hAnsi="Arial" w:cs="Arial"/>
                <w:b/>
                <w:i/>
                <w:color w:val="000000" w:themeColor="text1"/>
                <w:sz w:val="22"/>
                <w:szCs w:val="22"/>
              </w:rPr>
              <w:t xml:space="preserve">Global Equities </w:t>
            </w:r>
          </w:p>
        </w:tc>
        <w:tc>
          <w:tcPr>
            <w:tcW w:w="1417" w:type="dxa"/>
            <w:tcBorders>
              <w:top w:val="nil"/>
              <w:left w:val="nil"/>
              <w:bottom w:val="single" w:sz="8" w:space="0" w:color="auto"/>
              <w:right w:val="single" w:sz="8" w:space="0" w:color="auto"/>
            </w:tcBorders>
            <w:shd w:val="clear" w:color="auto" w:fill="auto"/>
            <w:hideMark/>
          </w:tcPr>
          <w:p w:rsidR="00A76E9D" w:rsidRPr="006D5D9B" w:rsidRDefault="00A76E9D" w:rsidP="00007D43">
            <w:pPr>
              <w:jc w:val="center"/>
              <w:rPr>
                <w:rFonts w:ascii="Arial" w:hAnsi="Arial" w:cs="Arial"/>
                <w:b/>
                <w:i/>
                <w:color w:val="000000"/>
              </w:rPr>
            </w:pPr>
            <w:r w:rsidRPr="006D5D9B">
              <w:rPr>
                <w:rFonts w:ascii="Arial" w:hAnsi="Arial" w:cs="Arial"/>
                <w:b/>
                <w:i/>
                <w:color w:val="000000" w:themeColor="text1"/>
                <w:sz w:val="22"/>
                <w:szCs w:val="22"/>
              </w:rPr>
              <w:t>48</w:t>
            </w:r>
          </w:p>
        </w:tc>
        <w:tc>
          <w:tcPr>
            <w:tcW w:w="1342" w:type="dxa"/>
            <w:tcBorders>
              <w:top w:val="nil"/>
              <w:left w:val="nil"/>
              <w:bottom w:val="single" w:sz="8" w:space="0" w:color="auto"/>
              <w:right w:val="single" w:sz="8" w:space="0" w:color="auto"/>
            </w:tcBorders>
            <w:shd w:val="clear" w:color="auto" w:fill="auto"/>
            <w:hideMark/>
          </w:tcPr>
          <w:p w:rsidR="00A76E9D" w:rsidRPr="006D5D9B" w:rsidRDefault="00A76E9D" w:rsidP="00007D43">
            <w:pPr>
              <w:jc w:val="center"/>
              <w:rPr>
                <w:rFonts w:ascii="Arial" w:hAnsi="Arial" w:cs="Arial"/>
                <w:b/>
                <w:i/>
                <w:color w:val="000000"/>
              </w:rPr>
            </w:pPr>
            <w:r w:rsidRPr="006D5D9B">
              <w:rPr>
                <w:rFonts w:ascii="Arial" w:hAnsi="Arial" w:cs="Arial"/>
                <w:b/>
                <w:i/>
                <w:color w:val="000000" w:themeColor="text1"/>
                <w:sz w:val="22"/>
                <w:szCs w:val="22"/>
              </w:rPr>
              <w:t>45–53</w:t>
            </w:r>
          </w:p>
        </w:tc>
        <w:tc>
          <w:tcPr>
            <w:tcW w:w="3336" w:type="dxa"/>
            <w:tcBorders>
              <w:top w:val="nil"/>
              <w:left w:val="nil"/>
              <w:bottom w:val="single" w:sz="8" w:space="0" w:color="auto"/>
              <w:right w:val="single" w:sz="8" w:space="0" w:color="auto"/>
            </w:tcBorders>
            <w:shd w:val="clear" w:color="auto" w:fill="FFFFFF" w:themeFill="background1"/>
            <w:hideMark/>
          </w:tcPr>
          <w:p w:rsidR="00A76E9D" w:rsidRPr="006D5D9B" w:rsidRDefault="00A76E9D" w:rsidP="00007D43">
            <w:pPr>
              <w:rPr>
                <w:rFonts w:ascii="Arial" w:hAnsi="Arial" w:cs="Arial"/>
                <w:b/>
                <w:i/>
                <w:color w:val="000000"/>
              </w:rPr>
            </w:pPr>
            <w:r w:rsidRPr="006D5D9B">
              <w:rPr>
                <w:rFonts w:ascii="Arial" w:hAnsi="Arial" w:cs="Arial"/>
                <w:b/>
                <w:i/>
                <w:color w:val="000000" w:themeColor="text1"/>
                <w:sz w:val="22"/>
                <w:szCs w:val="22"/>
              </w:rPr>
              <w:t>MSCI AC World Index</w:t>
            </w:r>
          </w:p>
        </w:tc>
      </w:tr>
      <w:tr w:rsidR="00A76E9D" w:rsidRPr="00DF6F04" w:rsidTr="00007D43">
        <w:trPr>
          <w:trHeight w:val="174"/>
        </w:trPr>
        <w:tc>
          <w:tcPr>
            <w:tcW w:w="3852" w:type="dxa"/>
            <w:tcBorders>
              <w:top w:val="nil"/>
              <w:left w:val="single" w:sz="8" w:space="0" w:color="auto"/>
              <w:bottom w:val="single" w:sz="8" w:space="0" w:color="auto"/>
              <w:right w:val="single" w:sz="8" w:space="0" w:color="auto"/>
            </w:tcBorders>
            <w:shd w:val="clear" w:color="auto" w:fill="auto"/>
            <w:vAlign w:val="bottom"/>
          </w:tcPr>
          <w:p w:rsidR="00A76E9D" w:rsidRPr="006D5D9B" w:rsidRDefault="00A76E9D" w:rsidP="00007D43">
            <w:pPr>
              <w:ind w:firstLine="440"/>
              <w:rPr>
                <w:rFonts w:ascii="Arial" w:hAnsi="Arial" w:cs="Arial"/>
                <w:color w:val="000000"/>
              </w:rPr>
            </w:pPr>
            <w:r w:rsidRPr="006D5D9B">
              <w:rPr>
                <w:rFonts w:ascii="Arial" w:hAnsi="Arial" w:cs="Arial"/>
                <w:color w:val="000000"/>
                <w:sz w:val="22"/>
                <w:szCs w:val="22"/>
              </w:rPr>
              <w:t>Growth</w:t>
            </w:r>
          </w:p>
        </w:tc>
        <w:tc>
          <w:tcPr>
            <w:tcW w:w="1417" w:type="dxa"/>
            <w:tcBorders>
              <w:top w:val="nil"/>
              <w:left w:val="nil"/>
              <w:bottom w:val="single" w:sz="8" w:space="0" w:color="auto"/>
              <w:right w:val="single" w:sz="8" w:space="0" w:color="auto"/>
            </w:tcBorders>
            <w:shd w:val="clear" w:color="auto" w:fill="auto"/>
          </w:tcPr>
          <w:p w:rsidR="00A76E9D" w:rsidRPr="000A749C" w:rsidRDefault="00A76E9D" w:rsidP="00007D43">
            <w:pPr>
              <w:jc w:val="center"/>
              <w:rPr>
                <w:rFonts w:ascii="Arial" w:hAnsi="Arial" w:cs="Arial"/>
                <w:b/>
                <w:bCs/>
                <w:i/>
                <w:color w:val="000000" w:themeColor="text1"/>
              </w:rPr>
            </w:pPr>
            <w:r>
              <w:rPr>
                <w:rFonts w:ascii="Arial" w:hAnsi="Arial" w:cs="Arial"/>
                <w:b/>
                <w:bCs/>
                <w:i/>
                <w:color w:val="000000" w:themeColor="text1"/>
                <w:sz w:val="22"/>
                <w:szCs w:val="22"/>
              </w:rPr>
              <w:t>17</w:t>
            </w:r>
          </w:p>
        </w:tc>
        <w:tc>
          <w:tcPr>
            <w:tcW w:w="1342" w:type="dxa"/>
            <w:tcBorders>
              <w:top w:val="nil"/>
              <w:left w:val="nil"/>
              <w:bottom w:val="single" w:sz="8" w:space="0" w:color="auto"/>
              <w:right w:val="single" w:sz="8" w:space="0" w:color="auto"/>
            </w:tcBorders>
            <w:shd w:val="clear" w:color="auto" w:fill="auto"/>
          </w:tcPr>
          <w:p w:rsidR="00A76E9D" w:rsidRPr="000A749C" w:rsidRDefault="00A76E9D" w:rsidP="00007D43">
            <w:pPr>
              <w:jc w:val="center"/>
              <w:rPr>
                <w:rFonts w:ascii="Arial" w:hAnsi="Arial" w:cs="Arial"/>
                <w:b/>
                <w:bCs/>
                <w:i/>
                <w:color w:val="000000" w:themeColor="text1"/>
              </w:rPr>
            </w:pPr>
            <w:r>
              <w:rPr>
                <w:rFonts w:ascii="Arial" w:hAnsi="Arial" w:cs="Arial"/>
                <w:b/>
                <w:bCs/>
                <w:i/>
                <w:color w:val="000000" w:themeColor="text1"/>
                <w:sz w:val="22"/>
                <w:szCs w:val="22"/>
              </w:rPr>
              <w:t>15-19</w:t>
            </w:r>
          </w:p>
        </w:tc>
        <w:tc>
          <w:tcPr>
            <w:tcW w:w="3336" w:type="dxa"/>
            <w:tcBorders>
              <w:top w:val="nil"/>
              <w:left w:val="nil"/>
              <w:bottom w:val="single" w:sz="8" w:space="0" w:color="auto"/>
              <w:right w:val="single" w:sz="8" w:space="0" w:color="auto"/>
            </w:tcBorders>
            <w:shd w:val="clear" w:color="auto" w:fill="FFFFFF" w:themeFill="background1"/>
          </w:tcPr>
          <w:p w:rsidR="00A76E9D" w:rsidRPr="000A749C" w:rsidRDefault="00A76E9D" w:rsidP="00007D43">
            <w:pPr>
              <w:rPr>
                <w:rFonts w:ascii="Arial" w:hAnsi="Arial" w:cs="Arial"/>
                <w:bCs/>
                <w:i/>
                <w:color w:val="000000" w:themeColor="text1"/>
              </w:rPr>
            </w:pPr>
          </w:p>
        </w:tc>
      </w:tr>
      <w:tr w:rsidR="00A76E9D" w:rsidRPr="00DF6F04" w:rsidTr="00007D43">
        <w:trPr>
          <w:trHeight w:val="174"/>
        </w:trPr>
        <w:tc>
          <w:tcPr>
            <w:tcW w:w="3852" w:type="dxa"/>
            <w:tcBorders>
              <w:top w:val="nil"/>
              <w:left w:val="single" w:sz="8" w:space="0" w:color="auto"/>
              <w:bottom w:val="single" w:sz="8" w:space="0" w:color="auto"/>
              <w:right w:val="single" w:sz="8" w:space="0" w:color="auto"/>
            </w:tcBorders>
            <w:shd w:val="clear" w:color="auto" w:fill="auto"/>
            <w:vAlign w:val="bottom"/>
          </w:tcPr>
          <w:p w:rsidR="00A76E9D" w:rsidRPr="006D5D9B" w:rsidRDefault="00A76E9D" w:rsidP="00007D43">
            <w:pPr>
              <w:ind w:firstLine="440"/>
              <w:rPr>
                <w:rFonts w:ascii="Arial" w:hAnsi="Arial" w:cs="Arial"/>
                <w:color w:val="000000"/>
              </w:rPr>
            </w:pPr>
            <w:r w:rsidRPr="006D5D9B">
              <w:rPr>
                <w:rFonts w:ascii="Arial" w:hAnsi="Arial" w:cs="Arial"/>
                <w:color w:val="000000"/>
                <w:sz w:val="22"/>
                <w:szCs w:val="22"/>
              </w:rPr>
              <w:t>Income Generating</w:t>
            </w:r>
          </w:p>
        </w:tc>
        <w:tc>
          <w:tcPr>
            <w:tcW w:w="1417" w:type="dxa"/>
            <w:tcBorders>
              <w:top w:val="nil"/>
              <w:left w:val="nil"/>
              <w:bottom w:val="single" w:sz="8" w:space="0" w:color="auto"/>
              <w:right w:val="single" w:sz="8" w:space="0" w:color="auto"/>
            </w:tcBorders>
            <w:shd w:val="clear" w:color="auto" w:fill="auto"/>
          </w:tcPr>
          <w:p w:rsidR="00A76E9D" w:rsidRPr="000A749C" w:rsidRDefault="00A76E9D" w:rsidP="00007D43">
            <w:pPr>
              <w:jc w:val="center"/>
              <w:rPr>
                <w:rFonts w:ascii="Arial" w:hAnsi="Arial" w:cs="Arial"/>
                <w:b/>
                <w:bCs/>
                <w:i/>
                <w:color w:val="000000" w:themeColor="text1"/>
              </w:rPr>
            </w:pPr>
            <w:r>
              <w:rPr>
                <w:rFonts w:ascii="Arial" w:hAnsi="Arial" w:cs="Arial"/>
                <w:b/>
                <w:bCs/>
                <w:i/>
                <w:color w:val="000000" w:themeColor="text1"/>
                <w:sz w:val="22"/>
                <w:szCs w:val="22"/>
              </w:rPr>
              <w:t>15</w:t>
            </w:r>
          </w:p>
        </w:tc>
        <w:tc>
          <w:tcPr>
            <w:tcW w:w="1342" w:type="dxa"/>
            <w:tcBorders>
              <w:top w:val="nil"/>
              <w:left w:val="nil"/>
              <w:bottom w:val="single" w:sz="8" w:space="0" w:color="auto"/>
              <w:right w:val="single" w:sz="8" w:space="0" w:color="auto"/>
            </w:tcBorders>
            <w:shd w:val="clear" w:color="auto" w:fill="auto"/>
          </w:tcPr>
          <w:p w:rsidR="00A76E9D" w:rsidRPr="000A749C" w:rsidRDefault="00A76E9D" w:rsidP="00007D43">
            <w:pPr>
              <w:jc w:val="center"/>
              <w:rPr>
                <w:rFonts w:ascii="Arial" w:hAnsi="Arial" w:cs="Arial"/>
                <w:b/>
                <w:bCs/>
                <w:i/>
                <w:color w:val="000000" w:themeColor="text1"/>
              </w:rPr>
            </w:pPr>
            <w:r>
              <w:rPr>
                <w:rFonts w:ascii="Arial" w:hAnsi="Arial" w:cs="Arial"/>
                <w:b/>
                <w:bCs/>
                <w:i/>
                <w:color w:val="000000" w:themeColor="text1"/>
                <w:sz w:val="22"/>
                <w:szCs w:val="22"/>
              </w:rPr>
              <w:t>13-17</w:t>
            </w:r>
          </w:p>
        </w:tc>
        <w:tc>
          <w:tcPr>
            <w:tcW w:w="3336" w:type="dxa"/>
            <w:tcBorders>
              <w:top w:val="nil"/>
              <w:left w:val="nil"/>
              <w:bottom w:val="single" w:sz="8" w:space="0" w:color="auto"/>
              <w:right w:val="single" w:sz="8" w:space="0" w:color="auto"/>
            </w:tcBorders>
            <w:shd w:val="clear" w:color="auto" w:fill="FFFFFF" w:themeFill="background1"/>
          </w:tcPr>
          <w:p w:rsidR="00A76E9D" w:rsidRPr="000A749C" w:rsidRDefault="00A76E9D" w:rsidP="00007D43">
            <w:pPr>
              <w:rPr>
                <w:rFonts w:ascii="Arial" w:hAnsi="Arial" w:cs="Arial"/>
                <w:bCs/>
                <w:i/>
                <w:color w:val="000000" w:themeColor="text1"/>
              </w:rPr>
            </w:pPr>
          </w:p>
        </w:tc>
      </w:tr>
      <w:tr w:rsidR="00A76E9D" w:rsidRPr="00DF6F04" w:rsidTr="00007D43">
        <w:trPr>
          <w:trHeight w:val="174"/>
        </w:trPr>
        <w:tc>
          <w:tcPr>
            <w:tcW w:w="3852" w:type="dxa"/>
            <w:tcBorders>
              <w:top w:val="nil"/>
              <w:left w:val="single" w:sz="8" w:space="0" w:color="auto"/>
              <w:bottom w:val="single" w:sz="8" w:space="0" w:color="auto"/>
              <w:right w:val="single" w:sz="8" w:space="0" w:color="auto"/>
            </w:tcBorders>
            <w:shd w:val="clear" w:color="auto" w:fill="auto"/>
            <w:vAlign w:val="bottom"/>
          </w:tcPr>
          <w:p w:rsidR="00A76E9D" w:rsidRPr="006D5D9B" w:rsidRDefault="00A76E9D" w:rsidP="00007D43">
            <w:pPr>
              <w:ind w:firstLine="440"/>
              <w:rPr>
                <w:rFonts w:ascii="Arial" w:hAnsi="Arial" w:cs="Arial"/>
                <w:color w:val="000000"/>
              </w:rPr>
            </w:pPr>
            <w:r w:rsidRPr="006D5D9B">
              <w:rPr>
                <w:rFonts w:ascii="Arial" w:hAnsi="Arial" w:cs="Arial"/>
                <w:color w:val="000000"/>
                <w:sz w:val="22"/>
                <w:szCs w:val="22"/>
              </w:rPr>
              <w:t>Passive Developed World</w:t>
            </w:r>
          </w:p>
        </w:tc>
        <w:tc>
          <w:tcPr>
            <w:tcW w:w="1417" w:type="dxa"/>
            <w:tcBorders>
              <w:top w:val="nil"/>
              <w:left w:val="nil"/>
              <w:bottom w:val="single" w:sz="8" w:space="0" w:color="auto"/>
              <w:right w:val="single" w:sz="8" w:space="0" w:color="auto"/>
            </w:tcBorders>
            <w:shd w:val="clear" w:color="auto" w:fill="auto"/>
          </w:tcPr>
          <w:p w:rsidR="00A76E9D" w:rsidRPr="000A749C" w:rsidRDefault="00A76E9D" w:rsidP="00007D43">
            <w:pPr>
              <w:jc w:val="center"/>
              <w:rPr>
                <w:rFonts w:ascii="Arial" w:hAnsi="Arial" w:cs="Arial"/>
                <w:b/>
                <w:bCs/>
                <w:i/>
                <w:color w:val="000000" w:themeColor="text1"/>
              </w:rPr>
            </w:pPr>
            <w:r>
              <w:rPr>
                <w:rFonts w:ascii="Arial" w:hAnsi="Arial" w:cs="Arial"/>
                <w:b/>
                <w:bCs/>
                <w:i/>
                <w:color w:val="000000" w:themeColor="text1"/>
                <w:sz w:val="22"/>
                <w:szCs w:val="22"/>
              </w:rPr>
              <w:t>16</w:t>
            </w:r>
          </w:p>
        </w:tc>
        <w:tc>
          <w:tcPr>
            <w:tcW w:w="1342" w:type="dxa"/>
            <w:tcBorders>
              <w:top w:val="nil"/>
              <w:left w:val="nil"/>
              <w:bottom w:val="single" w:sz="8" w:space="0" w:color="auto"/>
              <w:right w:val="single" w:sz="8" w:space="0" w:color="auto"/>
            </w:tcBorders>
            <w:shd w:val="clear" w:color="auto" w:fill="auto"/>
          </w:tcPr>
          <w:p w:rsidR="00A76E9D" w:rsidRPr="000A749C" w:rsidRDefault="00A76E9D" w:rsidP="00007D43">
            <w:pPr>
              <w:jc w:val="center"/>
              <w:rPr>
                <w:rFonts w:ascii="Arial" w:hAnsi="Arial" w:cs="Arial"/>
                <w:b/>
                <w:bCs/>
                <w:i/>
                <w:color w:val="000000" w:themeColor="text1"/>
              </w:rPr>
            </w:pPr>
            <w:r>
              <w:rPr>
                <w:rFonts w:ascii="Arial" w:hAnsi="Arial" w:cs="Arial"/>
                <w:b/>
                <w:bCs/>
                <w:i/>
                <w:color w:val="000000" w:themeColor="text1"/>
                <w:sz w:val="22"/>
                <w:szCs w:val="22"/>
              </w:rPr>
              <w:t>14-18</w:t>
            </w:r>
          </w:p>
        </w:tc>
        <w:tc>
          <w:tcPr>
            <w:tcW w:w="3336" w:type="dxa"/>
            <w:tcBorders>
              <w:top w:val="nil"/>
              <w:left w:val="nil"/>
              <w:bottom w:val="single" w:sz="8" w:space="0" w:color="auto"/>
              <w:right w:val="single" w:sz="8" w:space="0" w:color="auto"/>
            </w:tcBorders>
            <w:shd w:val="clear" w:color="auto" w:fill="FFFFFF" w:themeFill="background1"/>
          </w:tcPr>
          <w:p w:rsidR="00A76E9D" w:rsidRPr="000A749C" w:rsidRDefault="00A76E9D" w:rsidP="00007D43">
            <w:pPr>
              <w:rPr>
                <w:rFonts w:ascii="Arial" w:hAnsi="Arial" w:cs="Arial"/>
                <w:bCs/>
                <w:i/>
                <w:color w:val="000000" w:themeColor="text1"/>
              </w:rPr>
            </w:pPr>
          </w:p>
        </w:tc>
      </w:tr>
      <w:tr w:rsidR="00A76E9D" w:rsidRPr="00DF6F04" w:rsidTr="00007D43">
        <w:trPr>
          <w:trHeight w:val="174"/>
        </w:trPr>
        <w:tc>
          <w:tcPr>
            <w:tcW w:w="3852" w:type="dxa"/>
            <w:tcBorders>
              <w:top w:val="nil"/>
              <w:left w:val="single" w:sz="8" w:space="0" w:color="auto"/>
              <w:bottom w:val="single" w:sz="8" w:space="0" w:color="auto"/>
              <w:right w:val="single" w:sz="8" w:space="0" w:color="auto"/>
            </w:tcBorders>
            <w:shd w:val="clear" w:color="auto" w:fill="auto"/>
            <w:hideMark/>
          </w:tcPr>
          <w:p w:rsidR="00A76E9D" w:rsidRPr="000A749C" w:rsidRDefault="00A76E9D" w:rsidP="00007D43">
            <w:pPr>
              <w:rPr>
                <w:rFonts w:ascii="Arial" w:hAnsi="Arial" w:cs="Arial"/>
                <w:b/>
                <w:bCs/>
                <w:i/>
                <w:color w:val="000000"/>
              </w:rPr>
            </w:pPr>
            <w:r w:rsidRPr="000A749C">
              <w:rPr>
                <w:rFonts w:ascii="Arial" w:hAnsi="Arial" w:cs="Arial"/>
                <w:b/>
                <w:bCs/>
                <w:i/>
                <w:color w:val="000000" w:themeColor="text1"/>
                <w:sz w:val="22"/>
                <w:szCs w:val="22"/>
              </w:rPr>
              <w:t>TOTAL EQUITIES</w:t>
            </w:r>
          </w:p>
        </w:tc>
        <w:tc>
          <w:tcPr>
            <w:tcW w:w="1417"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themeColor="text1"/>
                <w:sz w:val="22"/>
                <w:szCs w:val="22"/>
              </w:rPr>
              <w:t>4</w:t>
            </w:r>
            <w:r>
              <w:rPr>
                <w:rFonts w:ascii="Arial" w:hAnsi="Arial" w:cs="Arial"/>
                <w:b/>
                <w:bCs/>
                <w:i/>
                <w:color w:val="000000" w:themeColor="text1"/>
                <w:sz w:val="22"/>
                <w:szCs w:val="22"/>
              </w:rPr>
              <w:t>8</w:t>
            </w:r>
          </w:p>
        </w:tc>
        <w:tc>
          <w:tcPr>
            <w:tcW w:w="1342"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themeColor="text1"/>
                <w:sz w:val="22"/>
                <w:szCs w:val="22"/>
              </w:rPr>
              <w:t>4</w:t>
            </w:r>
            <w:r>
              <w:rPr>
                <w:rFonts w:ascii="Arial" w:hAnsi="Arial" w:cs="Arial"/>
                <w:b/>
                <w:bCs/>
                <w:i/>
                <w:color w:val="000000" w:themeColor="text1"/>
                <w:sz w:val="22"/>
                <w:szCs w:val="22"/>
              </w:rPr>
              <w:t>5</w:t>
            </w:r>
            <w:r w:rsidRPr="000A749C">
              <w:rPr>
                <w:rFonts w:ascii="Arial" w:hAnsi="Arial" w:cs="Arial"/>
                <w:b/>
                <w:bCs/>
                <w:i/>
                <w:color w:val="000000" w:themeColor="text1"/>
                <w:sz w:val="22"/>
                <w:szCs w:val="22"/>
              </w:rPr>
              <w:t>–</w:t>
            </w:r>
            <w:r>
              <w:rPr>
                <w:rFonts w:ascii="Arial" w:hAnsi="Arial" w:cs="Arial"/>
                <w:b/>
                <w:bCs/>
                <w:i/>
                <w:color w:val="000000" w:themeColor="text1"/>
                <w:sz w:val="22"/>
                <w:szCs w:val="22"/>
              </w:rPr>
              <w:t>53</w:t>
            </w:r>
          </w:p>
        </w:tc>
        <w:tc>
          <w:tcPr>
            <w:tcW w:w="3336" w:type="dxa"/>
            <w:tcBorders>
              <w:top w:val="nil"/>
              <w:left w:val="nil"/>
              <w:bottom w:val="single" w:sz="8" w:space="0" w:color="auto"/>
              <w:right w:val="single" w:sz="8" w:space="0" w:color="auto"/>
            </w:tcBorders>
            <w:shd w:val="clear" w:color="auto" w:fill="FFFFFF" w:themeFill="background1"/>
            <w:hideMark/>
          </w:tcPr>
          <w:p w:rsidR="00A76E9D" w:rsidRPr="000A749C" w:rsidRDefault="00A76E9D" w:rsidP="00007D43">
            <w:pPr>
              <w:rPr>
                <w:rFonts w:ascii="Arial" w:hAnsi="Arial" w:cs="Arial"/>
                <w:bCs/>
                <w:i/>
                <w:color w:val="000000"/>
              </w:rPr>
            </w:pPr>
            <w:r w:rsidRPr="000A749C">
              <w:rPr>
                <w:rFonts w:ascii="Arial" w:hAnsi="Arial" w:cs="Arial"/>
                <w:bCs/>
                <w:i/>
                <w:color w:val="000000" w:themeColor="text1"/>
                <w:sz w:val="22"/>
                <w:szCs w:val="22"/>
              </w:rPr>
              <w:t>MSCI AC World Index</w:t>
            </w:r>
          </w:p>
        </w:tc>
      </w:tr>
      <w:tr w:rsidR="00A76E9D" w:rsidRPr="00DF6F04" w:rsidTr="00007D43">
        <w:trPr>
          <w:trHeight w:val="65"/>
        </w:trPr>
        <w:tc>
          <w:tcPr>
            <w:tcW w:w="3852" w:type="dxa"/>
            <w:tcBorders>
              <w:top w:val="nil"/>
              <w:left w:val="single" w:sz="8" w:space="0" w:color="auto"/>
              <w:bottom w:val="single" w:sz="8" w:space="0" w:color="auto"/>
              <w:right w:val="single" w:sz="8" w:space="0" w:color="auto"/>
            </w:tcBorders>
            <w:shd w:val="clear" w:color="auto" w:fill="auto"/>
            <w:hideMark/>
          </w:tcPr>
          <w:p w:rsidR="00A76E9D" w:rsidRPr="000A749C" w:rsidRDefault="00A76E9D" w:rsidP="00007D43">
            <w:pPr>
              <w:rPr>
                <w:rFonts w:ascii="Arial" w:hAnsi="Arial" w:cs="Arial"/>
                <w:b/>
                <w:bCs/>
                <w:i/>
                <w:color w:val="000000"/>
              </w:rPr>
            </w:pPr>
            <w:r w:rsidRPr="000A749C">
              <w:rPr>
                <w:rFonts w:ascii="Arial" w:hAnsi="Arial" w:cs="Arial"/>
                <w:b/>
                <w:bCs/>
                <w:i/>
                <w:color w:val="000000"/>
                <w:sz w:val="22"/>
                <w:szCs w:val="22"/>
              </w:rPr>
              <w:t> </w:t>
            </w:r>
          </w:p>
        </w:tc>
        <w:tc>
          <w:tcPr>
            <w:tcW w:w="1417"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sz w:val="22"/>
                <w:szCs w:val="22"/>
              </w:rPr>
              <w:t> </w:t>
            </w:r>
          </w:p>
        </w:tc>
        <w:tc>
          <w:tcPr>
            <w:tcW w:w="1342"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sz w:val="22"/>
                <w:szCs w:val="22"/>
              </w:rPr>
              <w:t> </w:t>
            </w:r>
          </w:p>
        </w:tc>
        <w:tc>
          <w:tcPr>
            <w:tcW w:w="3336" w:type="dxa"/>
            <w:tcBorders>
              <w:top w:val="nil"/>
              <w:left w:val="nil"/>
              <w:bottom w:val="single" w:sz="8" w:space="0" w:color="auto"/>
              <w:right w:val="single" w:sz="8" w:space="0" w:color="auto"/>
            </w:tcBorders>
            <w:shd w:val="clear" w:color="auto" w:fill="FFFFFF" w:themeFill="background1"/>
            <w:hideMark/>
          </w:tcPr>
          <w:p w:rsidR="00A76E9D" w:rsidRPr="000A749C" w:rsidRDefault="00A76E9D" w:rsidP="00007D43">
            <w:pPr>
              <w:rPr>
                <w:rFonts w:ascii="Arial" w:hAnsi="Arial" w:cs="Arial"/>
                <w:bCs/>
                <w:i/>
                <w:color w:val="000000"/>
              </w:rPr>
            </w:pPr>
            <w:r w:rsidRPr="000A749C">
              <w:rPr>
                <w:rFonts w:ascii="Arial" w:hAnsi="Arial" w:cs="Arial"/>
                <w:bCs/>
                <w:i/>
                <w:color w:val="000000"/>
                <w:sz w:val="22"/>
                <w:szCs w:val="22"/>
              </w:rPr>
              <w:t> </w:t>
            </w:r>
          </w:p>
        </w:tc>
      </w:tr>
      <w:tr w:rsidR="00A76E9D" w:rsidRPr="00DF6F04" w:rsidTr="00007D43">
        <w:trPr>
          <w:trHeight w:val="166"/>
        </w:trPr>
        <w:tc>
          <w:tcPr>
            <w:tcW w:w="3852" w:type="dxa"/>
            <w:tcBorders>
              <w:top w:val="nil"/>
              <w:left w:val="single" w:sz="8" w:space="0" w:color="auto"/>
              <w:bottom w:val="single" w:sz="8" w:space="0" w:color="auto"/>
              <w:right w:val="single" w:sz="8" w:space="0" w:color="auto"/>
            </w:tcBorders>
            <w:shd w:val="clear" w:color="auto" w:fill="auto"/>
            <w:hideMark/>
          </w:tcPr>
          <w:p w:rsidR="00A76E9D" w:rsidRPr="006D5D9B" w:rsidRDefault="00A76E9D" w:rsidP="00007D43">
            <w:pPr>
              <w:rPr>
                <w:rFonts w:ascii="Arial" w:hAnsi="Arial" w:cs="Arial"/>
                <w:b/>
                <w:i/>
                <w:color w:val="000000"/>
              </w:rPr>
            </w:pPr>
            <w:r w:rsidRPr="006D5D9B">
              <w:rPr>
                <w:rFonts w:ascii="Arial" w:hAnsi="Arial" w:cs="Arial"/>
                <w:b/>
                <w:i/>
                <w:color w:val="000000" w:themeColor="text1"/>
                <w:sz w:val="22"/>
                <w:szCs w:val="22"/>
              </w:rPr>
              <w:t>UK Bonds</w:t>
            </w:r>
          </w:p>
        </w:tc>
        <w:tc>
          <w:tcPr>
            <w:tcW w:w="1417" w:type="dxa"/>
            <w:tcBorders>
              <w:top w:val="nil"/>
              <w:left w:val="nil"/>
              <w:bottom w:val="single" w:sz="8" w:space="0" w:color="auto"/>
              <w:right w:val="single" w:sz="8" w:space="0" w:color="auto"/>
            </w:tcBorders>
            <w:shd w:val="clear" w:color="auto" w:fill="auto"/>
            <w:hideMark/>
          </w:tcPr>
          <w:p w:rsidR="00A76E9D" w:rsidRPr="006D5D9B" w:rsidRDefault="00A76E9D" w:rsidP="00007D43">
            <w:pPr>
              <w:jc w:val="center"/>
              <w:rPr>
                <w:rFonts w:ascii="Arial" w:hAnsi="Arial" w:cs="Arial"/>
                <w:b/>
                <w:i/>
                <w:color w:val="000000"/>
              </w:rPr>
            </w:pPr>
            <w:r w:rsidRPr="006D5D9B">
              <w:rPr>
                <w:rFonts w:ascii="Arial" w:hAnsi="Arial" w:cs="Arial"/>
                <w:b/>
                <w:i/>
                <w:color w:val="000000" w:themeColor="text1"/>
                <w:sz w:val="22"/>
                <w:szCs w:val="22"/>
              </w:rPr>
              <w:t>4</w:t>
            </w:r>
          </w:p>
        </w:tc>
        <w:tc>
          <w:tcPr>
            <w:tcW w:w="1342" w:type="dxa"/>
            <w:tcBorders>
              <w:top w:val="nil"/>
              <w:left w:val="nil"/>
              <w:bottom w:val="single" w:sz="8" w:space="0" w:color="auto"/>
              <w:right w:val="single" w:sz="8" w:space="0" w:color="auto"/>
            </w:tcBorders>
            <w:shd w:val="clear" w:color="auto" w:fill="auto"/>
            <w:hideMark/>
          </w:tcPr>
          <w:p w:rsidR="00A76E9D" w:rsidRPr="006D5D9B" w:rsidRDefault="00A76E9D" w:rsidP="00007D43">
            <w:pPr>
              <w:jc w:val="center"/>
              <w:rPr>
                <w:rFonts w:ascii="Arial" w:hAnsi="Arial" w:cs="Arial"/>
                <w:b/>
                <w:i/>
                <w:color w:val="000000"/>
              </w:rPr>
            </w:pPr>
            <w:r w:rsidRPr="006D5D9B">
              <w:rPr>
                <w:rFonts w:ascii="Arial" w:hAnsi="Arial" w:cs="Arial"/>
                <w:b/>
                <w:i/>
                <w:color w:val="000000" w:themeColor="text1"/>
                <w:sz w:val="22"/>
                <w:szCs w:val="22"/>
              </w:rPr>
              <w:t>3-5</w:t>
            </w:r>
          </w:p>
        </w:tc>
        <w:tc>
          <w:tcPr>
            <w:tcW w:w="3336" w:type="dxa"/>
            <w:tcBorders>
              <w:top w:val="nil"/>
              <w:left w:val="nil"/>
              <w:bottom w:val="single" w:sz="8" w:space="0" w:color="auto"/>
              <w:right w:val="single" w:sz="8" w:space="0" w:color="auto"/>
            </w:tcBorders>
            <w:shd w:val="clear" w:color="auto" w:fill="FFFFFF" w:themeFill="background1"/>
            <w:hideMark/>
          </w:tcPr>
          <w:p w:rsidR="00A76E9D" w:rsidRPr="006D5D9B" w:rsidRDefault="00A76E9D" w:rsidP="00007D43">
            <w:pPr>
              <w:rPr>
                <w:rFonts w:ascii="Arial" w:hAnsi="Arial" w:cs="Arial"/>
                <w:b/>
                <w:i/>
                <w:color w:val="000000"/>
              </w:rPr>
            </w:pPr>
            <w:r w:rsidRPr="006D5D9B">
              <w:rPr>
                <w:rFonts w:ascii="Arial" w:hAnsi="Arial" w:cs="Arial"/>
                <w:b/>
                <w:i/>
                <w:color w:val="000000" w:themeColor="text1"/>
                <w:sz w:val="22"/>
                <w:szCs w:val="22"/>
              </w:rPr>
              <w:t>Merrill Lynch Sterling Broad Market</w:t>
            </w:r>
          </w:p>
        </w:tc>
      </w:tr>
      <w:tr w:rsidR="00A76E9D" w:rsidRPr="00DF6F04" w:rsidTr="00007D43">
        <w:trPr>
          <w:trHeight w:val="174"/>
        </w:trPr>
        <w:tc>
          <w:tcPr>
            <w:tcW w:w="3852" w:type="dxa"/>
            <w:tcBorders>
              <w:top w:val="nil"/>
              <w:left w:val="single" w:sz="8" w:space="0" w:color="auto"/>
              <w:bottom w:val="single" w:sz="8" w:space="0" w:color="auto"/>
              <w:right w:val="single" w:sz="8" w:space="0" w:color="auto"/>
            </w:tcBorders>
            <w:shd w:val="clear" w:color="auto" w:fill="auto"/>
            <w:hideMark/>
          </w:tcPr>
          <w:p w:rsidR="00A76E9D" w:rsidRPr="000A749C" w:rsidRDefault="00A76E9D" w:rsidP="00007D43">
            <w:pPr>
              <w:rPr>
                <w:rFonts w:ascii="Arial" w:hAnsi="Arial" w:cs="Arial"/>
                <w:b/>
                <w:bCs/>
                <w:i/>
                <w:color w:val="000000"/>
              </w:rPr>
            </w:pPr>
            <w:r w:rsidRPr="000A749C">
              <w:rPr>
                <w:rFonts w:ascii="Arial" w:hAnsi="Arial" w:cs="Arial"/>
                <w:b/>
                <w:bCs/>
                <w:i/>
                <w:color w:val="000000"/>
                <w:sz w:val="22"/>
                <w:szCs w:val="22"/>
              </w:rPr>
              <w:t xml:space="preserve">Global Credit </w:t>
            </w:r>
          </w:p>
        </w:tc>
        <w:tc>
          <w:tcPr>
            <w:tcW w:w="1417"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sz w:val="22"/>
                <w:szCs w:val="22"/>
              </w:rPr>
              <w:t>8</w:t>
            </w:r>
          </w:p>
        </w:tc>
        <w:tc>
          <w:tcPr>
            <w:tcW w:w="1342"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Pr>
                <w:rFonts w:ascii="Arial" w:hAnsi="Arial" w:cs="Arial"/>
                <w:b/>
                <w:bCs/>
                <w:i/>
                <w:color w:val="000000"/>
                <w:sz w:val="22"/>
                <w:szCs w:val="22"/>
              </w:rPr>
              <w:t>6-10</w:t>
            </w:r>
          </w:p>
        </w:tc>
        <w:tc>
          <w:tcPr>
            <w:tcW w:w="3336" w:type="dxa"/>
            <w:tcBorders>
              <w:top w:val="nil"/>
              <w:left w:val="nil"/>
              <w:bottom w:val="single" w:sz="8" w:space="0" w:color="auto"/>
              <w:right w:val="single" w:sz="8" w:space="0" w:color="auto"/>
            </w:tcBorders>
            <w:shd w:val="clear" w:color="auto" w:fill="FFFFFF" w:themeFill="background1"/>
            <w:hideMark/>
          </w:tcPr>
          <w:p w:rsidR="00A76E9D" w:rsidRPr="000A749C" w:rsidRDefault="00A76E9D" w:rsidP="00007D43">
            <w:pPr>
              <w:rPr>
                <w:rFonts w:ascii="Arial" w:hAnsi="Arial" w:cs="Arial"/>
                <w:bCs/>
                <w:i/>
                <w:color w:val="000000"/>
              </w:rPr>
            </w:pPr>
            <w:r w:rsidRPr="000A749C">
              <w:rPr>
                <w:rFonts w:ascii="Arial" w:hAnsi="Arial" w:cs="Arial"/>
                <w:bCs/>
                <w:i/>
                <w:color w:val="000000"/>
                <w:sz w:val="22"/>
                <w:szCs w:val="22"/>
              </w:rPr>
              <w:t xml:space="preserve">Target Return </w:t>
            </w:r>
            <w:r>
              <w:rPr>
                <w:rFonts w:ascii="Arial" w:hAnsi="Arial" w:cs="Arial"/>
                <w:bCs/>
                <w:i/>
                <w:color w:val="000000"/>
                <w:sz w:val="22"/>
                <w:szCs w:val="22"/>
              </w:rPr>
              <w:t>4.5</w:t>
            </w:r>
            <w:r w:rsidRPr="000A749C">
              <w:rPr>
                <w:rFonts w:ascii="Arial" w:hAnsi="Arial" w:cs="Arial"/>
                <w:bCs/>
                <w:i/>
                <w:color w:val="000000"/>
                <w:sz w:val="22"/>
                <w:szCs w:val="22"/>
              </w:rPr>
              <w:t>%</w:t>
            </w:r>
            <w:r>
              <w:rPr>
                <w:rFonts w:ascii="Arial" w:hAnsi="Arial" w:cs="Arial"/>
                <w:bCs/>
                <w:i/>
                <w:color w:val="000000"/>
                <w:sz w:val="22"/>
                <w:szCs w:val="22"/>
              </w:rPr>
              <w:t xml:space="preserve"> (revised)</w:t>
            </w:r>
          </w:p>
        </w:tc>
      </w:tr>
      <w:tr w:rsidR="00A76E9D" w:rsidRPr="00DF6F04" w:rsidTr="00007D43">
        <w:trPr>
          <w:trHeight w:val="325"/>
        </w:trPr>
        <w:tc>
          <w:tcPr>
            <w:tcW w:w="3852" w:type="dxa"/>
            <w:tcBorders>
              <w:top w:val="nil"/>
              <w:left w:val="single" w:sz="8" w:space="0" w:color="auto"/>
              <w:bottom w:val="single" w:sz="8" w:space="0" w:color="auto"/>
              <w:right w:val="single" w:sz="8" w:space="0" w:color="auto"/>
            </w:tcBorders>
            <w:shd w:val="clear" w:color="auto" w:fill="auto"/>
            <w:hideMark/>
          </w:tcPr>
          <w:p w:rsidR="00A76E9D" w:rsidRPr="000A749C" w:rsidRDefault="00A76E9D" w:rsidP="00007D43">
            <w:pPr>
              <w:ind w:left="175"/>
              <w:rPr>
                <w:rFonts w:ascii="Arial" w:hAnsi="Arial" w:cs="Arial"/>
                <w:i/>
                <w:color w:val="000000"/>
              </w:rPr>
            </w:pPr>
            <w:r w:rsidRPr="000A749C">
              <w:rPr>
                <w:rFonts w:ascii="Arial" w:hAnsi="Arial" w:cs="Arial"/>
                <w:i/>
                <w:color w:val="000000"/>
              </w:rPr>
              <w:t xml:space="preserve">Non-investment grade bonds </w:t>
            </w:r>
          </w:p>
        </w:tc>
        <w:tc>
          <w:tcPr>
            <w:tcW w:w="1417"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i/>
                <w:color w:val="000000"/>
              </w:rPr>
            </w:pPr>
            <w:r w:rsidRPr="000A749C">
              <w:rPr>
                <w:rFonts w:ascii="Arial" w:hAnsi="Arial" w:cs="Arial"/>
                <w:i/>
                <w:color w:val="000000"/>
                <w:sz w:val="22"/>
                <w:szCs w:val="22"/>
              </w:rPr>
              <w:t> </w:t>
            </w:r>
          </w:p>
        </w:tc>
        <w:tc>
          <w:tcPr>
            <w:tcW w:w="1342"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i/>
                <w:color w:val="000000"/>
              </w:rPr>
            </w:pPr>
            <w:r w:rsidRPr="000A749C">
              <w:rPr>
                <w:rFonts w:ascii="Arial" w:hAnsi="Arial" w:cs="Arial"/>
                <w:i/>
                <w:color w:val="000000"/>
                <w:sz w:val="22"/>
                <w:szCs w:val="22"/>
              </w:rPr>
              <w:t xml:space="preserve">Up to 75% </w:t>
            </w:r>
          </w:p>
        </w:tc>
        <w:tc>
          <w:tcPr>
            <w:tcW w:w="3336" w:type="dxa"/>
            <w:tcBorders>
              <w:top w:val="nil"/>
              <w:left w:val="nil"/>
              <w:bottom w:val="single" w:sz="8" w:space="0" w:color="auto"/>
              <w:right w:val="single" w:sz="8" w:space="0" w:color="auto"/>
            </w:tcBorders>
            <w:shd w:val="clear" w:color="auto" w:fill="FFFFFF" w:themeFill="background1"/>
            <w:hideMark/>
          </w:tcPr>
          <w:p w:rsidR="00A76E9D" w:rsidRPr="000A749C" w:rsidRDefault="00A76E9D" w:rsidP="00007D43">
            <w:pPr>
              <w:rPr>
                <w:rFonts w:ascii="Arial" w:hAnsi="Arial" w:cs="Arial"/>
                <w:i/>
                <w:color w:val="000000"/>
              </w:rPr>
            </w:pPr>
            <w:r w:rsidRPr="000A749C">
              <w:rPr>
                <w:rFonts w:ascii="Arial" w:hAnsi="Arial" w:cs="Arial"/>
                <w:i/>
                <w:color w:val="000000"/>
                <w:sz w:val="22"/>
                <w:szCs w:val="22"/>
              </w:rPr>
              <w:t> </w:t>
            </w:r>
          </w:p>
        </w:tc>
      </w:tr>
      <w:tr w:rsidR="00A76E9D" w:rsidRPr="00DF6F04" w:rsidTr="00007D43">
        <w:trPr>
          <w:trHeight w:val="166"/>
        </w:trPr>
        <w:tc>
          <w:tcPr>
            <w:tcW w:w="3852" w:type="dxa"/>
            <w:tcBorders>
              <w:top w:val="nil"/>
              <w:left w:val="single" w:sz="8" w:space="0" w:color="auto"/>
              <w:bottom w:val="single" w:sz="8" w:space="0" w:color="auto"/>
              <w:right w:val="single" w:sz="8" w:space="0" w:color="auto"/>
            </w:tcBorders>
            <w:shd w:val="clear" w:color="auto" w:fill="auto"/>
            <w:hideMark/>
          </w:tcPr>
          <w:p w:rsidR="00A76E9D" w:rsidRPr="000A749C" w:rsidRDefault="00A76E9D" w:rsidP="00007D43">
            <w:pPr>
              <w:ind w:left="175"/>
              <w:rPr>
                <w:rFonts w:ascii="Arial" w:hAnsi="Arial" w:cs="Arial"/>
                <w:i/>
                <w:color w:val="000000"/>
              </w:rPr>
            </w:pPr>
            <w:r w:rsidRPr="000A749C">
              <w:rPr>
                <w:rFonts w:ascii="Arial" w:hAnsi="Arial" w:cs="Arial"/>
                <w:i/>
                <w:color w:val="000000"/>
              </w:rPr>
              <w:t xml:space="preserve">Emerging markets debt </w:t>
            </w:r>
          </w:p>
        </w:tc>
        <w:tc>
          <w:tcPr>
            <w:tcW w:w="1417"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i/>
                <w:color w:val="000000"/>
              </w:rPr>
            </w:pPr>
            <w:r w:rsidRPr="000A749C">
              <w:rPr>
                <w:rFonts w:ascii="Arial" w:hAnsi="Arial" w:cs="Arial"/>
                <w:i/>
                <w:color w:val="000000"/>
                <w:sz w:val="22"/>
                <w:szCs w:val="22"/>
              </w:rPr>
              <w:t> </w:t>
            </w:r>
          </w:p>
        </w:tc>
        <w:tc>
          <w:tcPr>
            <w:tcW w:w="1342"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i/>
                <w:color w:val="000000"/>
              </w:rPr>
            </w:pPr>
            <w:r w:rsidRPr="000A749C">
              <w:rPr>
                <w:rFonts w:ascii="Arial" w:hAnsi="Arial" w:cs="Arial"/>
                <w:i/>
                <w:color w:val="000000"/>
                <w:sz w:val="22"/>
                <w:szCs w:val="22"/>
              </w:rPr>
              <w:t>Up to 30%</w:t>
            </w:r>
          </w:p>
        </w:tc>
        <w:tc>
          <w:tcPr>
            <w:tcW w:w="3336" w:type="dxa"/>
            <w:tcBorders>
              <w:top w:val="nil"/>
              <w:left w:val="nil"/>
              <w:bottom w:val="single" w:sz="8" w:space="0" w:color="auto"/>
              <w:right w:val="single" w:sz="8" w:space="0" w:color="auto"/>
            </w:tcBorders>
            <w:shd w:val="clear" w:color="auto" w:fill="FFFFFF" w:themeFill="background1"/>
            <w:hideMark/>
          </w:tcPr>
          <w:p w:rsidR="00A76E9D" w:rsidRPr="000A749C" w:rsidRDefault="00A76E9D" w:rsidP="00007D43">
            <w:pPr>
              <w:rPr>
                <w:rFonts w:ascii="Arial" w:hAnsi="Arial" w:cs="Arial"/>
                <w:i/>
                <w:color w:val="000000"/>
              </w:rPr>
            </w:pPr>
            <w:r w:rsidRPr="000A749C">
              <w:rPr>
                <w:rFonts w:ascii="Arial" w:hAnsi="Arial" w:cs="Arial"/>
                <w:i/>
                <w:color w:val="000000"/>
                <w:sz w:val="22"/>
                <w:szCs w:val="22"/>
              </w:rPr>
              <w:t> </w:t>
            </w:r>
          </w:p>
        </w:tc>
      </w:tr>
      <w:tr w:rsidR="00A76E9D" w:rsidRPr="00DF6F04" w:rsidTr="00007D43">
        <w:trPr>
          <w:trHeight w:val="166"/>
        </w:trPr>
        <w:tc>
          <w:tcPr>
            <w:tcW w:w="3852" w:type="dxa"/>
            <w:tcBorders>
              <w:top w:val="nil"/>
              <w:left w:val="single" w:sz="8" w:space="0" w:color="auto"/>
              <w:bottom w:val="single" w:sz="8" w:space="0" w:color="auto"/>
              <w:right w:val="single" w:sz="8" w:space="0" w:color="auto"/>
            </w:tcBorders>
            <w:shd w:val="clear" w:color="auto" w:fill="auto"/>
            <w:hideMark/>
          </w:tcPr>
          <w:p w:rsidR="00A76E9D" w:rsidRPr="000A749C" w:rsidRDefault="00A76E9D" w:rsidP="00007D43">
            <w:pPr>
              <w:ind w:left="175"/>
              <w:rPr>
                <w:rFonts w:ascii="Arial" w:hAnsi="Arial" w:cs="Arial"/>
                <w:i/>
                <w:color w:val="000000"/>
              </w:rPr>
            </w:pPr>
            <w:r w:rsidRPr="000A749C">
              <w:rPr>
                <w:rFonts w:ascii="Arial" w:hAnsi="Arial" w:cs="Arial"/>
                <w:i/>
                <w:color w:val="000000"/>
              </w:rPr>
              <w:t xml:space="preserve">Non-rated debt (rated internally) </w:t>
            </w:r>
          </w:p>
        </w:tc>
        <w:tc>
          <w:tcPr>
            <w:tcW w:w="1417"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i/>
                <w:color w:val="000000"/>
              </w:rPr>
            </w:pPr>
            <w:r w:rsidRPr="000A749C">
              <w:rPr>
                <w:rFonts w:ascii="Arial" w:hAnsi="Arial" w:cs="Arial"/>
                <w:i/>
                <w:color w:val="000000"/>
                <w:sz w:val="22"/>
                <w:szCs w:val="22"/>
              </w:rPr>
              <w:t> </w:t>
            </w:r>
          </w:p>
        </w:tc>
        <w:tc>
          <w:tcPr>
            <w:tcW w:w="1342"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i/>
                <w:color w:val="000000"/>
              </w:rPr>
            </w:pPr>
            <w:r w:rsidRPr="000A749C">
              <w:rPr>
                <w:rFonts w:ascii="Arial" w:hAnsi="Arial" w:cs="Arial"/>
                <w:i/>
                <w:color w:val="000000"/>
                <w:sz w:val="22"/>
                <w:szCs w:val="22"/>
              </w:rPr>
              <w:t>Up to 10%</w:t>
            </w:r>
          </w:p>
        </w:tc>
        <w:tc>
          <w:tcPr>
            <w:tcW w:w="3336" w:type="dxa"/>
            <w:tcBorders>
              <w:top w:val="nil"/>
              <w:left w:val="nil"/>
              <w:bottom w:val="single" w:sz="8" w:space="0" w:color="auto"/>
              <w:right w:val="single" w:sz="8" w:space="0" w:color="auto"/>
            </w:tcBorders>
            <w:shd w:val="clear" w:color="auto" w:fill="FFFFFF" w:themeFill="background1"/>
            <w:hideMark/>
          </w:tcPr>
          <w:p w:rsidR="00A76E9D" w:rsidRPr="000A749C" w:rsidRDefault="00A76E9D" w:rsidP="00007D43">
            <w:pPr>
              <w:rPr>
                <w:rFonts w:ascii="Arial" w:hAnsi="Arial" w:cs="Arial"/>
                <w:i/>
                <w:color w:val="000000"/>
              </w:rPr>
            </w:pPr>
            <w:r w:rsidRPr="000A749C">
              <w:rPr>
                <w:rFonts w:ascii="Arial" w:hAnsi="Arial" w:cs="Arial"/>
                <w:i/>
                <w:color w:val="000000"/>
                <w:sz w:val="22"/>
                <w:szCs w:val="22"/>
              </w:rPr>
              <w:t> </w:t>
            </w:r>
          </w:p>
        </w:tc>
      </w:tr>
      <w:tr w:rsidR="00A76E9D" w:rsidRPr="00DF6F04" w:rsidTr="00007D43">
        <w:trPr>
          <w:trHeight w:val="166"/>
        </w:trPr>
        <w:tc>
          <w:tcPr>
            <w:tcW w:w="3852" w:type="dxa"/>
            <w:tcBorders>
              <w:top w:val="nil"/>
              <w:left w:val="single" w:sz="8" w:space="0" w:color="auto"/>
              <w:bottom w:val="single" w:sz="8" w:space="0" w:color="auto"/>
              <w:right w:val="single" w:sz="8" w:space="0" w:color="auto"/>
            </w:tcBorders>
            <w:shd w:val="clear" w:color="auto" w:fill="auto"/>
            <w:hideMark/>
          </w:tcPr>
          <w:p w:rsidR="00A76E9D" w:rsidRPr="000A749C" w:rsidRDefault="00A76E9D" w:rsidP="00007D43">
            <w:pPr>
              <w:ind w:left="175"/>
              <w:rPr>
                <w:rFonts w:ascii="Arial" w:hAnsi="Arial" w:cs="Arial"/>
                <w:i/>
                <w:color w:val="000000"/>
              </w:rPr>
            </w:pPr>
            <w:r w:rsidRPr="000A749C">
              <w:rPr>
                <w:rFonts w:ascii="Arial" w:hAnsi="Arial" w:cs="Arial"/>
                <w:i/>
                <w:color w:val="000000"/>
              </w:rPr>
              <w:t xml:space="preserve">Securitised Debt </w:t>
            </w:r>
          </w:p>
        </w:tc>
        <w:tc>
          <w:tcPr>
            <w:tcW w:w="1417"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i/>
                <w:color w:val="000000"/>
              </w:rPr>
            </w:pPr>
            <w:r w:rsidRPr="000A749C">
              <w:rPr>
                <w:rFonts w:ascii="Arial" w:hAnsi="Arial" w:cs="Arial"/>
                <w:i/>
                <w:color w:val="000000"/>
                <w:sz w:val="22"/>
                <w:szCs w:val="22"/>
              </w:rPr>
              <w:t> </w:t>
            </w:r>
          </w:p>
        </w:tc>
        <w:tc>
          <w:tcPr>
            <w:tcW w:w="1342"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i/>
                <w:color w:val="000000"/>
              </w:rPr>
            </w:pPr>
            <w:r w:rsidRPr="000A749C">
              <w:rPr>
                <w:rFonts w:ascii="Arial" w:hAnsi="Arial" w:cs="Arial"/>
                <w:i/>
                <w:color w:val="000000"/>
                <w:sz w:val="22"/>
                <w:szCs w:val="22"/>
              </w:rPr>
              <w:t>Up to 25%</w:t>
            </w:r>
          </w:p>
        </w:tc>
        <w:tc>
          <w:tcPr>
            <w:tcW w:w="3336" w:type="dxa"/>
            <w:tcBorders>
              <w:top w:val="nil"/>
              <w:left w:val="nil"/>
              <w:bottom w:val="single" w:sz="8" w:space="0" w:color="auto"/>
              <w:right w:val="single" w:sz="8" w:space="0" w:color="auto"/>
            </w:tcBorders>
            <w:shd w:val="clear" w:color="auto" w:fill="FFFFFF" w:themeFill="background1"/>
            <w:hideMark/>
          </w:tcPr>
          <w:p w:rsidR="00A76E9D" w:rsidRPr="000A749C" w:rsidRDefault="00A76E9D" w:rsidP="00007D43">
            <w:pPr>
              <w:rPr>
                <w:rFonts w:ascii="Arial" w:hAnsi="Arial" w:cs="Arial"/>
                <w:i/>
                <w:color w:val="000000"/>
              </w:rPr>
            </w:pPr>
            <w:r w:rsidRPr="000A749C">
              <w:rPr>
                <w:rFonts w:ascii="Arial" w:hAnsi="Arial" w:cs="Arial"/>
                <w:i/>
                <w:color w:val="000000"/>
                <w:sz w:val="22"/>
                <w:szCs w:val="22"/>
              </w:rPr>
              <w:t> </w:t>
            </w:r>
          </w:p>
        </w:tc>
      </w:tr>
      <w:tr w:rsidR="00A76E9D" w:rsidRPr="00DF6F04" w:rsidTr="00007D43">
        <w:trPr>
          <w:trHeight w:val="174"/>
        </w:trPr>
        <w:tc>
          <w:tcPr>
            <w:tcW w:w="3852" w:type="dxa"/>
            <w:tcBorders>
              <w:top w:val="nil"/>
              <w:left w:val="single" w:sz="8" w:space="0" w:color="auto"/>
              <w:bottom w:val="single" w:sz="8" w:space="0" w:color="auto"/>
              <w:right w:val="single" w:sz="8" w:space="0" w:color="auto"/>
            </w:tcBorders>
            <w:shd w:val="clear" w:color="auto" w:fill="auto"/>
            <w:hideMark/>
          </w:tcPr>
          <w:p w:rsidR="00A76E9D" w:rsidRPr="000A749C" w:rsidRDefault="00A76E9D" w:rsidP="00007D43">
            <w:pPr>
              <w:rPr>
                <w:rFonts w:ascii="Arial" w:hAnsi="Arial" w:cs="Arial"/>
                <w:b/>
                <w:bCs/>
                <w:i/>
                <w:color w:val="000000"/>
              </w:rPr>
            </w:pPr>
            <w:r w:rsidRPr="000A749C">
              <w:rPr>
                <w:rFonts w:ascii="Arial" w:hAnsi="Arial" w:cs="Arial"/>
                <w:b/>
                <w:bCs/>
                <w:i/>
                <w:color w:val="000000" w:themeColor="text1"/>
                <w:sz w:val="22"/>
                <w:szCs w:val="22"/>
              </w:rPr>
              <w:t>TOTAL BONDS</w:t>
            </w:r>
          </w:p>
        </w:tc>
        <w:tc>
          <w:tcPr>
            <w:tcW w:w="1417"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themeColor="text1"/>
                <w:sz w:val="22"/>
                <w:szCs w:val="22"/>
              </w:rPr>
              <w:t>1</w:t>
            </w:r>
            <w:r>
              <w:rPr>
                <w:rFonts w:ascii="Arial" w:hAnsi="Arial" w:cs="Arial"/>
                <w:b/>
                <w:bCs/>
                <w:i/>
                <w:color w:val="000000" w:themeColor="text1"/>
                <w:sz w:val="22"/>
                <w:szCs w:val="22"/>
              </w:rPr>
              <w:t>2</w:t>
            </w:r>
          </w:p>
        </w:tc>
        <w:tc>
          <w:tcPr>
            <w:tcW w:w="1342"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Pr>
                <w:rFonts w:ascii="Arial" w:hAnsi="Arial" w:cs="Arial"/>
                <w:b/>
                <w:bCs/>
                <w:i/>
                <w:color w:val="000000" w:themeColor="text1"/>
                <w:sz w:val="22"/>
                <w:szCs w:val="22"/>
              </w:rPr>
              <w:t>9–15</w:t>
            </w:r>
          </w:p>
        </w:tc>
        <w:tc>
          <w:tcPr>
            <w:tcW w:w="3336" w:type="dxa"/>
            <w:tcBorders>
              <w:top w:val="nil"/>
              <w:left w:val="nil"/>
              <w:bottom w:val="single" w:sz="8" w:space="0" w:color="auto"/>
              <w:right w:val="single" w:sz="8" w:space="0" w:color="auto"/>
            </w:tcBorders>
            <w:shd w:val="clear" w:color="auto" w:fill="FFFFFF" w:themeFill="background1"/>
            <w:hideMark/>
          </w:tcPr>
          <w:p w:rsidR="00A76E9D" w:rsidRPr="000A749C" w:rsidRDefault="00A76E9D" w:rsidP="00007D43">
            <w:pPr>
              <w:rPr>
                <w:rFonts w:ascii="Arial" w:hAnsi="Arial" w:cs="Arial"/>
                <w:i/>
                <w:color w:val="000000"/>
              </w:rPr>
            </w:pPr>
            <w:r w:rsidRPr="000A749C">
              <w:rPr>
                <w:rFonts w:ascii="Arial" w:hAnsi="Arial" w:cs="Arial"/>
                <w:i/>
                <w:color w:val="000000" w:themeColor="text1"/>
                <w:sz w:val="22"/>
                <w:szCs w:val="22"/>
              </w:rPr>
              <w:t> </w:t>
            </w:r>
          </w:p>
        </w:tc>
      </w:tr>
      <w:tr w:rsidR="00A76E9D" w:rsidRPr="00DF6F04" w:rsidTr="00007D43">
        <w:trPr>
          <w:trHeight w:val="101"/>
        </w:trPr>
        <w:tc>
          <w:tcPr>
            <w:tcW w:w="3852" w:type="dxa"/>
            <w:tcBorders>
              <w:top w:val="nil"/>
              <w:left w:val="single" w:sz="8" w:space="0" w:color="auto"/>
              <w:bottom w:val="single" w:sz="8" w:space="0" w:color="auto"/>
              <w:right w:val="single" w:sz="8" w:space="0" w:color="auto"/>
            </w:tcBorders>
            <w:shd w:val="clear" w:color="auto" w:fill="auto"/>
            <w:hideMark/>
          </w:tcPr>
          <w:p w:rsidR="00A76E9D" w:rsidRPr="000A749C" w:rsidRDefault="00A76E9D" w:rsidP="00007D43">
            <w:pPr>
              <w:rPr>
                <w:rFonts w:ascii="Arial" w:hAnsi="Arial" w:cs="Arial"/>
                <w:b/>
                <w:bCs/>
                <w:i/>
                <w:color w:val="000000"/>
              </w:rPr>
            </w:pPr>
            <w:r w:rsidRPr="000A749C">
              <w:rPr>
                <w:rFonts w:ascii="Arial" w:hAnsi="Arial" w:cs="Arial"/>
                <w:b/>
                <w:bCs/>
                <w:i/>
                <w:color w:val="000000"/>
                <w:sz w:val="22"/>
                <w:szCs w:val="22"/>
              </w:rPr>
              <w:t> </w:t>
            </w:r>
          </w:p>
        </w:tc>
        <w:tc>
          <w:tcPr>
            <w:tcW w:w="1417"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sz w:val="22"/>
                <w:szCs w:val="22"/>
              </w:rPr>
              <w:t> </w:t>
            </w:r>
          </w:p>
        </w:tc>
        <w:tc>
          <w:tcPr>
            <w:tcW w:w="1342"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sz w:val="22"/>
                <w:szCs w:val="22"/>
              </w:rPr>
              <w:t> </w:t>
            </w:r>
          </w:p>
        </w:tc>
        <w:tc>
          <w:tcPr>
            <w:tcW w:w="3336" w:type="dxa"/>
            <w:tcBorders>
              <w:top w:val="nil"/>
              <w:left w:val="nil"/>
              <w:bottom w:val="single" w:sz="8" w:space="0" w:color="auto"/>
              <w:right w:val="single" w:sz="8" w:space="0" w:color="auto"/>
            </w:tcBorders>
            <w:shd w:val="clear" w:color="auto" w:fill="FFFFFF" w:themeFill="background1"/>
            <w:hideMark/>
          </w:tcPr>
          <w:p w:rsidR="00A76E9D" w:rsidRPr="000A749C" w:rsidRDefault="00A76E9D" w:rsidP="00007D43">
            <w:pPr>
              <w:rPr>
                <w:rFonts w:ascii="Arial" w:hAnsi="Arial" w:cs="Arial"/>
                <w:i/>
                <w:color w:val="000000"/>
              </w:rPr>
            </w:pPr>
            <w:r w:rsidRPr="000A749C">
              <w:rPr>
                <w:rFonts w:ascii="Arial" w:hAnsi="Arial" w:cs="Arial"/>
                <w:i/>
                <w:color w:val="000000"/>
                <w:sz w:val="22"/>
                <w:szCs w:val="22"/>
              </w:rPr>
              <w:t> </w:t>
            </w:r>
          </w:p>
        </w:tc>
      </w:tr>
      <w:tr w:rsidR="00A76E9D" w:rsidRPr="00DF6F04" w:rsidTr="00007D43">
        <w:trPr>
          <w:trHeight w:val="341"/>
        </w:trPr>
        <w:tc>
          <w:tcPr>
            <w:tcW w:w="3852" w:type="dxa"/>
            <w:tcBorders>
              <w:top w:val="nil"/>
              <w:left w:val="single" w:sz="8" w:space="0" w:color="auto"/>
              <w:bottom w:val="single" w:sz="8" w:space="0" w:color="auto"/>
              <w:right w:val="single" w:sz="8" w:space="0" w:color="auto"/>
            </w:tcBorders>
            <w:shd w:val="clear" w:color="auto" w:fill="auto"/>
            <w:hideMark/>
          </w:tcPr>
          <w:p w:rsidR="00A76E9D" w:rsidRPr="000A749C" w:rsidRDefault="00A76E9D" w:rsidP="00007D43">
            <w:pPr>
              <w:rPr>
                <w:rFonts w:ascii="Arial" w:hAnsi="Arial" w:cs="Arial"/>
                <w:b/>
                <w:bCs/>
                <w:i/>
                <w:color w:val="000000"/>
              </w:rPr>
            </w:pPr>
            <w:r w:rsidRPr="000A749C">
              <w:rPr>
                <w:rFonts w:ascii="Arial" w:hAnsi="Arial" w:cs="Arial"/>
                <w:b/>
                <w:bCs/>
                <w:i/>
                <w:color w:val="000000" w:themeColor="text1"/>
                <w:sz w:val="22"/>
                <w:szCs w:val="22"/>
              </w:rPr>
              <w:t>Absolute Return</w:t>
            </w:r>
          </w:p>
        </w:tc>
        <w:tc>
          <w:tcPr>
            <w:tcW w:w="1417"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themeColor="text1"/>
                <w:sz w:val="22"/>
                <w:szCs w:val="22"/>
              </w:rPr>
              <w:t>1</w:t>
            </w:r>
            <w:r>
              <w:rPr>
                <w:rFonts w:ascii="Arial" w:hAnsi="Arial" w:cs="Arial"/>
                <w:b/>
                <w:bCs/>
                <w:i/>
                <w:color w:val="000000" w:themeColor="text1"/>
                <w:sz w:val="22"/>
                <w:szCs w:val="22"/>
              </w:rPr>
              <w:t>8</w:t>
            </w:r>
          </w:p>
        </w:tc>
        <w:tc>
          <w:tcPr>
            <w:tcW w:w="1342"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themeColor="text1"/>
                <w:sz w:val="22"/>
                <w:szCs w:val="22"/>
              </w:rPr>
              <w:t>1</w:t>
            </w:r>
            <w:r>
              <w:rPr>
                <w:rFonts w:ascii="Arial" w:hAnsi="Arial" w:cs="Arial"/>
                <w:b/>
                <w:bCs/>
                <w:i/>
                <w:color w:val="000000" w:themeColor="text1"/>
                <w:sz w:val="22"/>
                <w:szCs w:val="22"/>
              </w:rPr>
              <w:t>6</w:t>
            </w:r>
            <w:r w:rsidRPr="000A749C">
              <w:rPr>
                <w:rFonts w:ascii="Arial" w:hAnsi="Arial" w:cs="Arial"/>
                <w:b/>
                <w:bCs/>
                <w:i/>
                <w:color w:val="000000" w:themeColor="text1"/>
                <w:sz w:val="22"/>
                <w:szCs w:val="22"/>
              </w:rPr>
              <w:t>–</w:t>
            </w:r>
            <w:r>
              <w:rPr>
                <w:rFonts w:ascii="Arial" w:hAnsi="Arial" w:cs="Arial"/>
                <w:b/>
                <w:bCs/>
                <w:i/>
                <w:color w:val="000000" w:themeColor="text1"/>
                <w:sz w:val="22"/>
                <w:szCs w:val="22"/>
              </w:rPr>
              <w:t>20</w:t>
            </w:r>
          </w:p>
        </w:tc>
        <w:tc>
          <w:tcPr>
            <w:tcW w:w="3336" w:type="dxa"/>
            <w:tcBorders>
              <w:top w:val="nil"/>
              <w:left w:val="nil"/>
              <w:bottom w:val="single" w:sz="8" w:space="0" w:color="auto"/>
              <w:right w:val="single" w:sz="8" w:space="0" w:color="auto"/>
            </w:tcBorders>
            <w:shd w:val="clear" w:color="auto" w:fill="FFFFFF" w:themeFill="background1"/>
            <w:hideMark/>
          </w:tcPr>
          <w:p w:rsidR="00A76E9D" w:rsidRDefault="00A76E9D" w:rsidP="00007D43">
            <w:pPr>
              <w:rPr>
                <w:rFonts w:ascii="Arial" w:hAnsi="Arial" w:cs="Arial"/>
                <w:bCs/>
                <w:i/>
                <w:color w:val="000000" w:themeColor="text1"/>
              </w:rPr>
            </w:pPr>
            <w:r w:rsidRPr="000A749C">
              <w:rPr>
                <w:rFonts w:ascii="Arial" w:hAnsi="Arial" w:cs="Arial"/>
                <w:bCs/>
                <w:i/>
                <w:color w:val="000000" w:themeColor="text1"/>
                <w:sz w:val="22"/>
                <w:szCs w:val="22"/>
              </w:rPr>
              <w:t xml:space="preserve">Pyrford: RPI +5% p.a. </w:t>
            </w:r>
          </w:p>
          <w:p w:rsidR="00A76E9D" w:rsidRPr="000A749C" w:rsidRDefault="00A76E9D" w:rsidP="00007D43">
            <w:pPr>
              <w:rPr>
                <w:rFonts w:ascii="Arial" w:hAnsi="Arial" w:cs="Arial"/>
                <w:bCs/>
                <w:i/>
                <w:color w:val="000000"/>
              </w:rPr>
            </w:pPr>
            <w:r w:rsidRPr="000A749C">
              <w:rPr>
                <w:rFonts w:ascii="Arial" w:hAnsi="Arial" w:cs="Arial"/>
                <w:bCs/>
                <w:i/>
                <w:color w:val="000000" w:themeColor="text1"/>
                <w:sz w:val="22"/>
                <w:szCs w:val="22"/>
              </w:rPr>
              <w:t>Newton: 1 mth LIBOR +4% p.a</w:t>
            </w:r>
          </w:p>
        </w:tc>
      </w:tr>
      <w:tr w:rsidR="00A76E9D" w:rsidRPr="00DF6F04" w:rsidTr="00007D43">
        <w:trPr>
          <w:trHeight w:val="88"/>
        </w:trPr>
        <w:tc>
          <w:tcPr>
            <w:tcW w:w="3852" w:type="dxa"/>
            <w:tcBorders>
              <w:top w:val="nil"/>
              <w:left w:val="single" w:sz="8" w:space="0" w:color="auto"/>
              <w:bottom w:val="single" w:sz="8" w:space="0" w:color="auto"/>
              <w:right w:val="single" w:sz="8" w:space="0" w:color="auto"/>
            </w:tcBorders>
            <w:shd w:val="clear" w:color="auto" w:fill="auto"/>
            <w:hideMark/>
          </w:tcPr>
          <w:p w:rsidR="00A76E9D" w:rsidRPr="000A749C" w:rsidRDefault="00A76E9D" w:rsidP="00007D43">
            <w:pPr>
              <w:rPr>
                <w:rFonts w:ascii="Arial" w:hAnsi="Arial" w:cs="Arial"/>
                <w:b/>
                <w:bCs/>
                <w:i/>
                <w:color w:val="000000"/>
              </w:rPr>
            </w:pPr>
            <w:r w:rsidRPr="000A749C">
              <w:rPr>
                <w:rFonts w:ascii="Arial" w:hAnsi="Arial" w:cs="Arial"/>
                <w:b/>
                <w:bCs/>
                <w:i/>
                <w:color w:val="000000"/>
                <w:sz w:val="22"/>
                <w:szCs w:val="22"/>
              </w:rPr>
              <w:t> </w:t>
            </w:r>
          </w:p>
        </w:tc>
        <w:tc>
          <w:tcPr>
            <w:tcW w:w="1417"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sz w:val="22"/>
                <w:szCs w:val="22"/>
              </w:rPr>
              <w:t> </w:t>
            </w:r>
          </w:p>
        </w:tc>
        <w:tc>
          <w:tcPr>
            <w:tcW w:w="1342"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sz w:val="22"/>
                <w:szCs w:val="22"/>
              </w:rPr>
              <w:t> </w:t>
            </w:r>
          </w:p>
        </w:tc>
        <w:tc>
          <w:tcPr>
            <w:tcW w:w="3336" w:type="dxa"/>
            <w:tcBorders>
              <w:top w:val="nil"/>
              <w:left w:val="nil"/>
              <w:bottom w:val="single" w:sz="8" w:space="0" w:color="auto"/>
              <w:right w:val="single" w:sz="8" w:space="0" w:color="auto"/>
            </w:tcBorders>
            <w:shd w:val="clear" w:color="auto" w:fill="FFFFFF" w:themeFill="background1"/>
            <w:hideMark/>
          </w:tcPr>
          <w:p w:rsidR="00A76E9D" w:rsidRPr="000A749C" w:rsidRDefault="00A76E9D" w:rsidP="00007D43">
            <w:pPr>
              <w:rPr>
                <w:rFonts w:ascii="Arial" w:hAnsi="Arial" w:cs="Arial"/>
                <w:i/>
                <w:color w:val="000000"/>
              </w:rPr>
            </w:pPr>
            <w:r w:rsidRPr="000A749C">
              <w:rPr>
                <w:rFonts w:ascii="Arial" w:hAnsi="Arial" w:cs="Arial"/>
                <w:i/>
                <w:color w:val="000000"/>
                <w:sz w:val="22"/>
                <w:szCs w:val="22"/>
              </w:rPr>
              <w:t> </w:t>
            </w:r>
          </w:p>
        </w:tc>
      </w:tr>
      <w:tr w:rsidR="00A76E9D" w:rsidRPr="00DF6F04" w:rsidTr="00007D43">
        <w:trPr>
          <w:trHeight w:val="341"/>
        </w:trPr>
        <w:tc>
          <w:tcPr>
            <w:tcW w:w="3852" w:type="dxa"/>
            <w:tcBorders>
              <w:top w:val="nil"/>
              <w:left w:val="single" w:sz="8" w:space="0" w:color="auto"/>
              <w:bottom w:val="single" w:sz="8" w:space="0" w:color="auto"/>
              <w:right w:val="single" w:sz="8" w:space="0" w:color="auto"/>
            </w:tcBorders>
            <w:shd w:val="clear" w:color="auto" w:fill="auto"/>
            <w:hideMark/>
          </w:tcPr>
          <w:p w:rsidR="00A76E9D" w:rsidRPr="000A749C" w:rsidRDefault="00A76E9D" w:rsidP="00007D43">
            <w:pPr>
              <w:rPr>
                <w:rFonts w:ascii="Arial" w:hAnsi="Arial" w:cs="Arial"/>
                <w:b/>
                <w:bCs/>
                <w:i/>
                <w:color w:val="000000"/>
              </w:rPr>
            </w:pPr>
            <w:r w:rsidRPr="000A749C">
              <w:rPr>
                <w:rFonts w:ascii="Arial" w:hAnsi="Arial" w:cs="Arial"/>
                <w:b/>
                <w:bCs/>
                <w:i/>
                <w:color w:val="000000" w:themeColor="text1"/>
                <w:sz w:val="22"/>
                <w:szCs w:val="22"/>
              </w:rPr>
              <w:t>Property</w:t>
            </w:r>
          </w:p>
        </w:tc>
        <w:tc>
          <w:tcPr>
            <w:tcW w:w="1417"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themeColor="text1"/>
                <w:sz w:val="22"/>
                <w:szCs w:val="22"/>
              </w:rPr>
              <w:t>7</w:t>
            </w:r>
          </w:p>
        </w:tc>
        <w:tc>
          <w:tcPr>
            <w:tcW w:w="1342"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Pr>
                <w:rFonts w:ascii="Arial" w:hAnsi="Arial" w:cs="Arial"/>
                <w:b/>
                <w:bCs/>
                <w:i/>
                <w:color w:val="000000" w:themeColor="text1"/>
                <w:sz w:val="22"/>
                <w:szCs w:val="22"/>
              </w:rPr>
              <w:t>6–9</w:t>
            </w:r>
          </w:p>
        </w:tc>
        <w:tc>
          <w:tcPr>
            <w:tcW w:w="3336" w:type="dxa"/>
            <w:tcBorders>
              <w:top w:val="nil"/>
              <w:left w:val="nil"/>
              <w:bottom w:val="single" w:sz="8" w:space="0" w:color="auto"/>
              <w:right w:val="single" w:sz="8" w:space="0" w:color="auto"/>
            </w:tcBorders>
            <w:shd w:val="clear" w:color="auto" w:fill="FFFFFF" w:themeFill="background1"/>
            <w:hideMark/>
          </w:tcPr>
          <w:p w:rsidR="00A76E9D" w:rsidRPr="000A749C" w:rsidRDefault="00A76E9D" w:rsidP="00007D43">
            <w:pPr>
              <w:rPr>
                <w:rFonts w:ascii="Arial" w:hAnsi="Arial" w:cs="Arial"/>
                <w:bCs/>
                <w:i/>
                <w:color w:val="000000"/>
              </w:rPr>
            </w:pPr>
            <w:r w:rsidRPr="000A749C">
              <w:rPr>
                <w:rFonts w:ascii="Arial" w:hAnsi="Arial" w:cs="Arial"/>
                <w:bCs/>
                <w:i/>
                <w:color w:val="000000" w:themeColor="text1"/>
                <w:sz w:val="22"/>
                <w:szCs w:val="22"/>
              </w:rPr>
              <w:t>IPD UK Property Fund Indices All Balanced Property Funds</w:t>
            </w:r>
          </w:p>
        </w:tc>
      </w:tr>
      <w:tr w:rsidR="00A76E9D" w:rsidRPr="00DF6F04" w:rsidTr="00007D43">
        <w:trPr>
          <w:trHeight w:val="174"/>
        </w:trPr>
        <w:tc>
          <w:tcPr>
            <w:tcW w:w="3852" w:type="dxa"/>
            <w:tcBorders>
              <w:top w:val="nil"/>
              <w:left w:val="single" w:sz="8" w:space="0" w:color="auto"/>
              <w:bottom w:val="single" w:sz="8" w:space="0" w:color="auto"/>
              <w:right w:val="single" w:sz="8" w:space="0" w:color="auto"/>
            </w:tcBorders>
            <w:shd w:val="clear" w:color="auto" w:fill="auto"/>
            <w:hideMark/>
          </w:tcPr>
          <w:p w:rsidR="00A76E9D" w:rsidRPr="000A749C" w:rsidRDefault="00A76E9D" w:rsidP="00007D43">
            <w:pPr>
              <w:rPr>
                <w:rFonts w:ascii="Arial" w:hAnsi="Arial" w:cs="Arial"/>
                <w:b/>
                <w:bCs/>
                <w:i/>
                <w:color w:val="000000"/>
              </w:rPr>
            </w:pPr>
            <w:r w:rsidRPr="000A749C">
              <w:rPr>
                <w:rFonts w:ascii="Arial" w:hAnsi="Arial" w:cs="Arial"/>
                <w:b/>
                <w:bCs/>
                <w:i/>
                <w:color w:val="000000"/>
                <w:sz w:val="22"/>
                <w:szCs w:val="22"/>
              </w:rPr>
              <w:t> </w:t>
            </w:r>
          </w:p>
        </w:tc>
        <w:tc>
          <w:tcPr>
            <w:tcW w:w="1417"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sz w:val="22"/>
                <w:szCs w:val="22"/>
              </w:rPr>
              <w:t> </w:t>
            </w:r>
          </w:p>
        </w:tc>
        <w:tc>
          <w:tcPr>
            <w:tcW w:w="1342"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sz w:val="22"/>
                <w:szCs w:val="22"/>
              </w:rPr>
              <w:t> </w:t>
            </w:r>
          </w:p>
        </w:tc>
        <w:tc>
          <w:tcPr>
            <w:tcW w:w="3336" w:type="dxa"/>
            <w:tcBorders>
              <w:top w:val="nil"/>
              <w:left w:val="nil"/>
              <w:bottom w:val="single" w:sz="8" w:space="0" w:color="auto"/>
              <w:right w:val="single" w:sz="8" w:space="0" w:color="auto"/>
            </w:tcBorders>
            <w:shd w:val="clear" w:color="auto" w:fill="FFFFFF" w:themeFill="background1"/>
            <w:hideMark/>
          </w:tcPr>
          <w:p w:rsidR="00A76E9D" w:rsidRPr="000A749C" w:rsidRDefault="00A76E9D" w:rsidP="00007D43">
            <w:pPr>
              <w:rPr>
                <w:rFonts w:ascii="Arial" w:hAnsi="Arial" w:cs="Arial"/>
                <w:i/>
                <w:color w:val="000000"/>
              </w:rPr>
            </w:pPr>
            <w:r w:rsidRPr="000A749C">
              <w:rPr>
                <w:rFonts w:ascii="Arial" w:hAnsi="Arial" w:cs="Arial"/>
                <w:i/>
                <w:color w:val="000000"/>
                <w:sz w:val="22"/>
                <w:szCs w:val="22"/>
              </w:rPr>
              <w:t> </w:t>
            </w:r>
          </w:p>
        </w:tc>
      </w:tr>
      <w:tr w:rsidR="00A76E9D" w:rsidRPr="00DF6F04" w:rsidTr="00007D43">
        <w:trPr>
          <w:trHeight w:val="174"/>
        </w:trPr>
        <w:tc>
          <w:tcPr>
            <w:tcW w:w="3852" w:type="dxa"/>
            <w:tcBorders>
              <w:top w:val="nil"/>
              <w:left w:val="single" w:sz="8" w:space="0" w:color="auto"/>
              <w:bottom w:val="single" w:sz="8" w:space="0" w:color="auto"/>
              <w:right w:val="single" w:sz="8" w:space="0" w:color="auto"/>
            </w:tcBorders>
            <w:shd w:val="clear" w:color="auto" w:fill="auto"/>
            <w:hideMark/>
          </w:tcPr>
          <w:p w:rsidR="00A76E9D" w:rsidRPr="000A749C" w:rsidRDefault="00A76E9D" w:rsidP="00007D43">
            <w:pPr>
              <w:rPr>
                <w:rFonts w:ascii="Arial" w:hAnsi="Arial" w:cs="Arial"/>
                <w:b/>
                <w:bCs/>
                <w:i/>
                <w:color w:val="000000" w:themeColor="text1"/>
              </w:rPr>
            </w:pPr>
            <w:r w:rsidRPr="000A749C">
              <w:rPr>
                <w:rFonts w:ascii="Arial" w:hAnsi="Arial" w:cs="Arial"/>
                <w:b/>
                <w:bCs/>
                <w:i/>
                <w:color w:val="000000" w:themeColor="text1"/>
                <w:sz w:val="22"/>
                <w:szCs w:val="22"/>
              </w:rPr>
              <w:t xml:space="preserve">Diversified Alternatives </w:t>
            </w:r>
          </w:p>
        </w:tc>
        <w:tc>
          <w:tcPr>
            <w:tcW w:w="1417"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themeColor="text1"/>
              </w:rPr>
            </w:pPr>
            <w:r>
              <w:rPr>
                <w:rFonts w:ascii="Arial" w:hAnsi="Arial" w:cs="Arial"/>
                <w:b/>
                <w:bCs/>
                <w:i/>
                <w:color w:val="000000" w:themeColor="text1"/>
                <w:sz w:val="22"/>
                <w:szCs w:val="22"/>
              </w:rPr>
              <w:t>6</w:t>
            </w:r>
          </w:p>
        </w:tc>
        <w:tc>
          <w:tcPr>
            <w:tcW w:w="1342"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themeColor="text1"/>
              </w:rPr>
            </w:pPr>
            <w:r>
              <w:rPr>
                <w:rFonts w:ascii="Arial" w:hAnsi="Arial" w:cs="Arial"/>
                <w:b/>
                <w:bCs/>
                <w:i/>
                <w:color w:val="000000" w:themeColor="text1"/>
                <w:sz w:val="22"/>
                <w:szCs w:val="22"/>
              </w:rPr>
              <w:t>6-10</w:t>
            </w:r>
          </w:p>
        </w:tc>
        <w:tc>
          <w:tcPr>
            <w:tcW w:w="3336" w:type="dxa"/>
            <w:tcBorders>
              <w:top w:val="nil"/>
              <w:left w:val="nil"/>
              <w:bottom w:val="single" w:sz="8" w:space="0" w:color="auto"/>
              <w:right w:val="single" w:sz="8" w:space="0" w:color="auto"/>
            </w:tcBorders>
            <w:shd w:val="clear" w:color="auto" w:fill="FFFFFF" w:themeFill="background1"/>
            <w:hideMark/>
          </w:tcPr>
          <w:p w:rsidR="00A76E9D" w:rsidRPr="000A749C" w:rsidRDefault="00A76E9D" w:rsidP="00007D43">
            <w:pPr>
              <w:rPr>
                <w:rFonts w:ascii="Arial" w:hAnsi="Arial" w:cs="Arial"/>
                <w:bCs/>
                <w:i/>
                <w:color w:val="000000" w:themeColor="text1"/>
              </w:rPr>
            </w:pPr>
            <w:r w:rsidRPr="000A749C">
              <w:rPr>
                <w:rFonts w:ascii="Arial" w:hAnsi="Arial" w:cs="Arial"/>
                <w:bCs/>
                <w:i/>
                <w:color w:val="000000" w:themeColor="text1"/>
                <w:sz w:val="22"/>
                <w:szCs w:val="22"/>
              </w:rPr>
              <w:t>3mth LIBOR plus 4%</w:t>
            </w:r>
          </w:p>
        </w:tc>
      </w:tr>
      <w:tr w:rsidR="00A76E9D" w:rsidRPr="00DF6F04" w:rsidTr="00007D43">
        <w:trPr>
          <w:trHeight w:val="174"/>
        </w:trPr>
        <w:tc>
          <w:tcPr>
            <w:tcW w:w="3852" w:type="dxa"/>
            <w:tcBorders>
              <w:top w:val="single" w:sz="8" w:space="0" w:color="auto"/>
              <w:left w:val="single" w:sz="8" w:space="0" w:color="auto"/>
              <w:bottom w:val="single" w:sz="8" w:space="0" w:color="auto"/>
              <w:right w:val="single" w:sz="8" w:space="0" w:color="auto"/>
            </w:tcBorders>
            <w:shd w:val="clear" w:color="auto" w:fill="auto"/>
            <w:hideMark/>
          </w:tcPr>
          <w:p w:rsidR="00A76E9D" w:rsidRPr="000A749C" w:rsidRDefault="00A76E9D" w:rsidP="00007D43">
            <w:pPr>
              <w:rPr>
                <w:rFonts w:ascii="Arial" w:hAnsi="Arial" w:cs="Arial"/>
                <w:b/>
                <w:bCs/>
                <w:i/>
                <w:color w:val="000000" w:themeColor="text1"/>
              </w:rPr>
            </w:pPr>
          </w:p>
        </w:tc>
        <w:tc>
          <w:tcPr>
            <w:tcW w:w="1417" w:type="dxa"/>
            <w:tcBorders>
              <w:top w:val="single" w:sz="8" w:space="0" w:color="auto"/>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themeColor="text1"/>
              </w:rPr>
            </w:pPr>
          </w:p>
        </w:tc>
        <w:tc>
          <w:tcPr>
            <w:tcW w:w="1342" w:type="dxa"/>
            <w:tcBorders>
              <w:top w:val="single" w:sz="8" w:space="0" w:color="auto"/>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themeColor="text1"/>
              </w:rPr>
            </w:pPr>
          </w:p>
        </w:tc>
        <w:tc>
          <w:tcPr>
            <w:tcW w:w="3336" w:type="dxa"/>
            <w:tcBorders>
              <w:top w:val="single" w:sz="8" w:space="0" w:color="auto"/>
              <w:left w:val="nil"/>
              <w:bottom w:val="single" w:sz="8" w:space="0" w:color="auto"/>
              <w:right w:val="single" w:sz="8" w:space="0" w:color="auto"/>
            </w:tcBorders>
            <w:shd w:val="clear" w:color="auto" w:fill="FFFFFF" w:themeFill="background1"/>
            <w:hideMark/>
          </w:tcPr>
          <w:p w:rsidR="00A76E9D" w:rsidRPr="000A749C" w:rsidRDefault="00A76E9D" w:rsidP="00007D43">
            <w:pPr>
              <w:rPr>
                <w:rFonts w:ascii="Arial" w:hAnsi="Arial" w:cs="Arial"/>
                <w:bCs/>
                <w:i/>
                <w:color w:val="000000" w:themeColor="text1"/>
              </w:rPr>
            </w:pPr>
          </w:p>
        </w:tc>
      </w:tr>
      <w:tr w:rsidR="00A76E9D" w:rsidRPr="00DF6F04" w:rsidTr="00007D43">
        <w:trPr>
          <w:trHeight w:val="174"/>
        </w:trPr>
        <w:tc>
          <w:tcPr>
            <w:tcW w:w="3852" w:type="dxa"/>
            <w:tcBorders>
              <w:top w:val="nil"/>
              <w:left w:val="single" w:sz="8" w:space="0" w:color="auto"/>
              <w:bottom w:val="single" w:sz="8" w:space="0" w:color="auto"/>
              <w:right w:val="single" w:sz="8" w:space="0" w:color="auto"/>
            </w:tcBorders>
            <w:shd w:val="clear" w:color="auto" w:fill="auto"/>
            <w:hideMark/>
          </w:tcPr>
          <w:p w:rsidR="00A76E9D" w:rsidRPr="000A749C" w:rsidRDefault="00A76E9D" w:rsidP="00007D43">
            <w:pPr>
              <w:rPr>
                <w:rFonts w:ascii="Arial" w:hAnsi="Arial" w:cs="Arial"/>
                <w:b/>
                <w:bCs/>
                <w:i/>
                <w:color w:val="000000"/>
              </w:rPr>
            </w:pPr>
            <w:r w:rsidRPr="000A749C">
              <w:rPr>
                <w:rFonts w:ascii="Arial" w:hAnsi="Arial" w:cs="Arial"/>
                <w:b/>
                <w:bCs/>
                <w:i/>
                <w:color w:val="000000" w:themeColor="text1"/>
                <w:sz w:val="22"/>
                <w:szCs w:val="22"/>
              </w:rPr>
              <w:t>Infrastructure</w:t>
            </w:r>
          </w:p>
        </w:tc>
        <w:tc>
          <w:tcPr>
            <w:tcW w:w="1417"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Pr>
                <w:rFonts w:ascii="Arial" w:hAnsi="Arial" w:cs="Arial"/>
                <w:b/>
                <w:bCs/>
                <w:i/>
                <w:color w:val="000000" w:themeColor="text1"/>
                <w:sz w:val="22"/>
                <w:szCs w:val="22"/>
              </w:rPr>
              <w:t>9</w:t>
            </w:r>
          </w:p>
        </w:tc>
        <w:tc>
          <w:tcPr>
            <w:tcW w:w="1342"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Pr>
                <w:rFonts w:ascii="Arial" w:hAnsi="Arial" w:cs="Arial"/>
                <w:b/>
                <w:bCs/>
                <w:i/>
                <w:color w:val="000000" w:themeColor="text1"/>
                <w:sz w:val="22"/>
                <w:szCs w:val="22"/>
              </w:rPr>
              <w:t>4–11</w:t>
            </w:r>
          </w:p>
        </w:tc>
        <w:tc>
          <w:tcPr>
            <w:tcW w:w="3336" w:type="dxa"/>
            <w:tcBorders>
              <w:top w:val="nil"/>
              <w:left w:val="nil"/>
              <w:bottom w:val="single" w:sz="8" w:space="0" w:color="auto"/>
              <w:right w:val="single" w:sz="8" w:space="0" w:color="auto"/>
            </w:tcBorders>
            <w:shd w:val="clear" w:color="auto" w:fill="FFFFFF" w:themeFill="background1"/>
            <w:hideMark/>
          </w:tcPr>
          <w:p w:rsidR="00A76E9D" w:rsidRPr="000A749C" w:rsidRDefault="00A76E9D" w:rsidP="00007D43">
            <w:pPr>
              <w:rPr>
                <w:rFonts w:ascii="Arial" w:hAnsi="Arial" w:cs="Arial"/>
                <w:bCs/>
                <w:i/>
                <w:color w:val="000000"/>
              </w:rPr>
            </w:pPr>
            <w:r w:rsidRPr="000A749C">
              <w:rPr>
                <w:rFonts w:ascii="Arial" w:hAnsi="Arial" w:cs="Arial"/>
                <w:bCs/>
                <w:i/>
                <w:color w:val="000000" w:themeColor="text1"/>
                <w:sz w:val="22"/>
                <w:szCs w:val="22"/>
              </w:rPr>
              <w:t>Target yield 5.9% per annum</w:t>
            </w:r>
          </w:p>
        </w:tc>
      </w:tr>
      <w:tr w:rsidR="00A76E9D" w:rsidRPr="00DF6F04" w:rsidTr="00007D43">
        <w:trPr>
          <w:trHeight w:val="174"/>
        </w:trPr>
        <w:tc>
          <w:tcPr>
            <w:tcW w:w="3852" w:type="dxa"/>
            <w:tcBorders>
              <w:top w:val="nil"/>
              <w:left w:val="single" w:sz="8" w:space="0" w:color="auto"/>
              <w:bottom w:val="single" w:sz="8" w:space="0" w:color="auto"/>
              <w:right w:val="single" w:sz="8" w:space="0" w:color="auto"/>
            </w:tcBorders>
            <w:shd w:val="clear" w:color="auto" w:fill="auto"/>
            <w:hideMark/>
          </w:tcPr>
          <w:p w:rsidR="00A76E9D" w:rsidRPr="000A749C" w:rsidRDefault="00A76E9D" w:rsidP="00007D43">
            <w:pPr>
              <w:rPr>
                <w:rFonts w:ascii="Arial" w:hAnsi="Arial" w:cs="Arial"/>
                <w:b/>
                <w:bCs/>
                <w:i/>
                <w:color w:val="000000"/>
              </w:rPr>
            </w:pPr>
            <w:r w:rsidRPr="000A749C">
              <w:rPr>
                <w:rFonts w:ascii="Arial" w:hAnsi="Arial" w:cs="Arial"/>
                <w:b/>
                <w:bCs/>
                <w:i/>
                <w:color w:val="000000"/>
                <w:sz w:val="22"/>
                <w:szCs w:val="22"/>
              </w:rPr>
              <w:t> </w:t>
            </w:r>
          </w:p>
        </w:tc>
        <w:tc>
          <w:tcPr>
            <w:tcW w:w="1417"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sz w:val="22"/>
                <w:szCs w:val="22"/>
              </w:rPr>
              <w:t> </w:t>
            </w:r>
          </w:p>
        </w:tc>
        <w:tc>
          <w:tcPr>
            <w:tcW w:w="1342"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sz w:val="22"/>
                <w:szCs w:val="22"/>
              </w:rPr>
              <w:t> </w:t>
            </w:r>
          </w:p>
        </w:tc>
        <w:tc>
          <w:tcPr>
            <w:tcW w:w="3336" w:type="dxa"/>
            <w:tcBorders>
              <w:top w:val="nil"/>
              <w:left w:val="nil"/>
              <w:bottom w:val="single" w:sz="8" w:space="0" w:color="auto"/>
              <w:right w:val="single" w:sz="8" w:space="0" w:color="auto"/>
            </w:tcBorders>
            <w:shd w:val="clear" w:color="auto" w:fill="FFFFFF" w:themeFill="background1"/>
            <w:hideMark/>
          </w:tcPr>
          <w:p w:rsidR="00A76E9D" w:rsidRPr="000A749C" w:rsidRDefault="00A76E9D" w:rsidP="00007D43">
            <w:pPr>
              <w:rPr>
                <w:rFonts w:ascii="Arial" w:hAnsi="Arial" w:cs="Arial"/>
                <w:i/>
                <w:color w:val="000000"/>
              </w:rPr>
            </w:pPr>
            <w:r w:rsidRPr="000A749C">
              <w:rPr>
                <w:rFonts w:ascii="Arial" w:hAnsi="Arial" w:cs="Arial"/>
                <w:i/>
                <w:color w:val="000000"/>
                <w:sz w:val="22"/>
                <w:szCs w:val="22"/>
              </w:rPr>
              <w:t> </w:t>
            </w:r>
          </w:p>
        </w:tc>
      </w:tr>
      <w:tr w:rsidR="00A76E9D" w:rsidRPr="00DF6F04" w:rsidTr="00007D43">
        <w:trPr>
          <w:trHeight w:val="166"/>
        </w:trPr>
        <w:tc>
          <w:tcPr>
            <w:tcW w:w="3852" w:type="dxa"/>
            <w:tcBorders>
              <w:top w:val="nil"/>
              <w:left w:val="single" w:sz="8" w:space="0" w:color="auto"/>
              <w:bottom w:val="single" w:sz="8" w:space="0" w:color="auto"/>
              <w:right w:val="single" w:sz="8" w:space="0" w:color="auto"/>
            </w:tcBorders>
            <w:shd w:val="clear" w:color="auto" w:fill="auto"/>
            <w:hideMark/>
          </w:tcPr>
          <w:p w:rsidR="00A76E9D" w:rsidRPr="000A749C" w:rsidRDefault="00A76E9D" w:rsidP="00007D43">
            <w:pPr>
              <w:rPr>
                <w:rFonts w:ascii="Arial" w:hAnsi="Arial" w:cs="Arial"/>
                <w:b/>
                <w:i/>
                <w:color w:val="000000"/>
              </w:rPr>
            </w:pPr>
            <w:r>
              <w:rPr>
                <w:rFonts w:ascii="Arial" w:hAnsi="Arial" w:cs="Arial"/>
                <w:b/>
                <w:i/>
                <w:color w:val="000000" w:themeColor="text1"/>
                <w:sz w:val="22"/>
                <w:szCs w:val="22"/>
              </w:rPr>
              <w:t>Senior Loans*</w:t>
            </w:r>
          </w:p>
        </w:tc>
        <w:tc>
          <w:tcPr>
            <w:tcW w:w="1417"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i/>
                <w:color w:val="000000"/>
              </w:rPr>
            </w:pPr>
            <w:r>
              <w:rPr>
                <w:rFonts w:ascii="Arial" w:hAnsi="Arial" w:cs="Arial"/>
                <w:b/>
                <w:i/>
                <w:color w:val="000000" w:themeColor="text1"/>
                <w:sz w:val="22"/>
                <w:szCs w:val="22"/>
              </w:rPr>
              <w:t>0</w:t>
            </w:r>
          </w:p>
        </w:tc>
        <w:tc>
          <w:tcPr>
            <w:tcW w:w="1342"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i/>
                <w:color w:val="000000"/>
              </w:rPr>
            </w:pPr>
            <w:r>
              <w:rPr>
                <w:rFonts w:ascii="Arial" w:hAnsi="Arial" w:cs="Arial"/>
                <w:b/>
                <w:i/>
                <w:color w:val="000000" w:themeColor="text1"/>
                <w:sz w:val="22"/>
                <w:szCs w:val="22"/>
              </w:rPr>
              <w:t>0</w:t>
            </w:r>
            <w:r w:rsidRPr="000A749C">
              <w:rPr>
                <w:rFonts w:ascii="Arial" w:hAnsi="Arial" w:cs="Arial"/>
                <w:b/>
                <w:i/>
                <w:color w:val="000000" w:themeColor="text1"/>
                <w:sz w:val="22"/>
                <w:szCs w:val="22"/>
              </w:rPr>
              <w:t>-</w:t>
            </w:r>
            <w:r>
              <w:rPr>
                <w:rFonts w:ascii="Arial" w:hAnsi="Arial" w:cs="Arial"/>
                <w:b/>
                <w:i/>
                <w:color w:val="000000" w:themeColor="text1"/>
                <w:sz w:val="22"/>
                <w:szCs w:val="22"/>
              </w:rPr>
              <w:t>1</w:t>
            </w:r>
          </w:p>
        </w:tc>
        <w:tc>
          <w:tcPr>
            <w:tcW w:w="3336" w:type="dxa"/>
            <w:tcBorders>
              <w:top w:val="nil"/>
              <w:left w:val="nil"/>
              <w:bottom w:val="single" w:sz="8" w:space="0" w:color="auto"/>
              <w:right w:val="single" w:sz="8" w:space="0" w:color="auto"/>
            </w:tcBorders>
            <w:shd w:val="clear" w:color="auto" w:fill="FFFFFF" w:themeFill="background1"/>
            <w:hideMark/>
          </w:tcPr>
          <w:p w:rsidR="00A76E9D" w:rsidRPr="000A749C" w:rsidRDefault="00A76E9D" w:rsidP="00007D43">
            <w:pPr>
              <w:rPr>
                <w:rFonts w:ascii="Arial" w:hAnsi="Arial" w:cs="Arial"/>
                <w:i/>
                <w:color w:val="000000"/>
              </w:rPr>
            </w:pPr>
            <w:r w:rsidRPr="000A749C">
              <w:rPr>
                <w:rFonts w:ascii="Arial" w:hAnsi="Arial" w:cs="Arial"/>
                <w:i/>
                <w:color w:val="000000" w:themeColor="text1"/>
                <w:sz w:val="22"/>
                <w:szCs w:val="22"/>
              </w:rPr>
              <w:t>Target Return 5-6%</w:t>
            </w:r>
          </w:p>
        </w:tc>
      </w:tr>
      <w:tr w:rsidR="00A76E9D" w:rsidRPr="00DF6F04" w:rsidTr="00007D43">
        <w:trPr>
          <w:trHeight w:val="174"/>
        </w:trPr>
        <w:tc>
          <w:tcPr>
            <w:tcW w:w="3852" w:type="dxa"/>
            <w:tcBorders>
              <w:top w:val="nil"/>
              <w:left w:val="single" w:sz="8" w:space="0" w:color="auto"/>
              <w:bottom w:val="single" w:sz="8" w:space="0" w:color="auto"/>
              <w:right w:val="single" w:sz="8" w:space="0" w:color="auto"/>
            </w:tcBorders>
            <w:shd w:val="clear" w:color="auto" w:fill="auto"/>
            <w:hideMark/>
          </w:tcPr>
          <w:p w:rsidR="00A76E9D" w:rsidRPr="000A749C" w:rsidRDefault="00A76E9D" w:rsidP="00007D43">
            <w:pPr>
              <w:rPr>
                <w:rFonts w:ascii="Arial" w:hAnsi="Arial" w:cs="Arial"/>
                <w:b/>
                <w:bCs/>
                <w:i/>
                <w:color w:val="000000"/>
              </w:rPr>
            </w:pPr>
            <w:r w:rsidRPr="000A749C">
              <w:rPr>
                <w:rFonts w:ascii="Arial" w:hAnsi="Arial" w:cs="Arial"/>
                <w:b/>
                <w:bCs/>
                <w:i/>
                <w:color w:val="000000"/>
                <w:sz w:val="22"/>
                <w:szCs w:val="22"/>
              </w:rPr>
              <w:t> </w:t>
            </w:r>
          </w:p>
        </w:tc>
        <w:tc>
          <w:tcPr>
            <w:tcW w:w="1417"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sz w:val="22"/>
                <w:szCs w:val="22"/>
              </w:rPr>
              <w:t> </w:t>
            </w:r>
          </w:p>
        </w:tc>
        <w:tc>
          <w:tcPr>
            <w:tcW w:w="1342"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sz w:val="22"/>
                <w:szCs w:val="22"/>
              </w:rPr>
              <w:t> </w:t>
            </w:r>
          </w:p>
        </w:tc>
        <w:tc>
          <w:tcPr>
            <w:tcW w:w="3336" w:type="dxa"/>
            <w:tcBorders>
              <w:top w:val="nil"/>
              <w:left w:val="nil"/>
              <w:bottom w:val="single" w:sz="8" w:space="0" w:color="auto"/>
              <w:right w:val="single" w:sz="8" w:space="0" w:color="auto"/>
            </w:tcBorders>
            <w:shd w:val="clear" w:color="auto" w:fill="FFFFFF" w:themeFill="background1"/>
            <w:hideMark/>
          </w:tcPr>
          <w:p w:rsidR="00A76E9D" w:rsidRPr="000A749C" w:rsidRDefault="00A76E9D" w:rsidP="00007D43">
            <w:pPr>
              <w:rPr>
                <w:rFonts w:ascii="Arial" w:hAnsi="Arial" w:cs="Arial"/>
                <w:i/>
                <w:color w:val="000000"/>
              </w:rPr>
            </w:pPr>
            <w:r w:rsidRPr="000A749C">
              <w:rPr>
                <w:rFonts w:ascii="Arial" w:hAnsi="Arial" w:cs="Arial"/>
                <w:i/>
                <w:color w:val="000000"/>
                <w:sz w:val="22"/>
                <w:szCs w:val="22"/>
              </w:rPr>
              <w:t> </w:t>
            </w:r>
          </w:p>
        </w:tc>
      </w:tr>
      <w:tr w:rsidR="00A76E9D" w:rsidRPr="00DF6F04" w:rsidTr="00007D43">
        <w:trPr>
          <w:trHeight w:val="174"/>
        </w:trPr>
        <w:tc>
          <w:tcPr>
            <w:tcW w:w="3852" w:type="dxa"/>
            <w:tcBorders>
              <w:top w:val="nil"/>
              <w:left w:val="single" w:sz="8" w:space="0" w:color="auto"/>
              <w:bottom w:val="single" w:sz="8" w:space="0" w:color="auto"/>
              <w:right w:val="single" w:sz="8" w:space="0" w:color="auto"/>
            </w:tcBorders>
            <w:shd w:val="clear" w:color="auto" w:fill="auto"/>
            <w:hideMark/>
          </w:tcPr>
          <w:p w:rsidR="00A76E9D" w:rsidRPr="000A749C" w:rsidRDefault="00A76E9D" w:rsidP="00007D43">
            <w:pPr>
              <w:rPr>
                <w:rFonts w:ascii="Arial" w:hAnsi="Arial" w:cs="Arial"/>
                <w:b/>
                <w:bCs/>
                <w:i/>
                <w:color w:val="000000"/>
              </w:rPr>
            </w:pPr>
            <w:r w:rsidRPr="000A749C">
              <w:rPr>
                <w:rFonts w:ascii="Arial" w:hAnsi="Arial" w:cs="Arial"/>
                <w:b/>
                <w:bCs/>
                <w:i/>
                <w:color w:val="000000" w:themeColor="text1"/>
                <w:sz w:val="22"/>
                <w:szCs w:val="22"/>
              </w:rPr>
              <w:t>Cash</w:t>
            </w:r>
          </w:p>
        </w:tc>
        <w:tc>
          <w:tcPr>
            <w:tcW w:w="1417"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themeColor="text1"/>
                <w:sz w:val="22"/>
                <w:szCs w:val="22"/>
              </w:rPr>
              <w:t>0</w:t>
            </w:r>
          </w:p>
        </w:tc>
        <w:tc>
          <w:tcPr>
            <w:tcW w:w="1342"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Pr>
                <w:rFonts w:ascii="Arial" w:hAnsi="Arial" w:cs="Arial"/>
                <w:b/>
                <w:bCs/>
                <w:i/>
                <w:color w:val="000000" w:themeColor="text1"/>
                <w:sz w:val="22"/>
                <w:szCs w:val="22"/>
              </w:rPr>
              <w:t>0–2</w:t>
            </w:r>
          </w:p>
        </w:tc>
        <w:tc>
          <w:tcPr>
            <w:tcW w:w="3336" w:type="dxa"/>
            <w:tcBorders>
              <w:top w:val="nil"/>
              <w:left w:val="nil"/>
              <w:bottom w:val="single" w:sz="8" w:space="0" w:color="auto"/>
              <w:right w:val="single" w:sz="8" w:space="0" w:color="auto"/>
            </w:tcBorders>
            <w:shd w:val="clear" w:color="auto" w:fill="FFFFFF" w:themeFill="background1"/>
            <w:hideMark/>
          </w:tcPr>
          <w:p w:rsidR="00A76E9D" w:rsidRPr="000A749C" w:rsidRDefault="00A76E9D" w:rsidP="00007D43">
            <w:pPr>
              <w:rPr>
                <w:rFonts w:ascii="Arial" w:hAnsi="Arial" w:cs="Arial"/>
                <w:bCs/>
                <w:i/>
                <w:color w:val="000000"/>
              </w:rPr>
            </w:pPr>
            <w:r w:rsidRPr="000A749C">
              <w:rPr>
                <w:rFonts w:ascii="Arial" w:hAnsi="Arial" w:cs="Arial"/>
                <w:bCs/>
                <w:i/>
                <w:color w:val="000000"/>
                <w:sz w:val="22"/>
                <w:szCs w:val="22"/>
              </w:rPr>
              <w:t> </w:t>
            </w:r>
          </w:p>
        </w:tc>
      </w:tr>
      <w:tr w:rsidR="00A76E9D" w:rsidRPr="00DF6F04" w:rsidTr="00007D43">
        <w:trPr>
          <w:trHeight w:val="174"/>
        </w:trPr>
        <w:tc>
          <w:tcPr>
            <w:tcW w:w="3852" w:type="dxa"/>
            <w:tcBorders>
              <w:top w:val="single" w:sz="8" w:space="0" w:color="auto"/>
              <w:left w:val="single" w:sz="8" w:space="0" w:color="auto"/>
              <w:bottom w:val="single" w:sz="8" w:space="0" w:color="auto"/>
              <w:right w:val="single" w:sz="8" w:space="0" w:color="auto"/>
            </w:tcBorders>
            <w:shd w:val="clear" w:color="auto" w:fill="auto"/>
            <w:hideMark/>
          </w:tcPr>
          <w:p w:rsidR="00A76E9D" w:rsidRPr="000A749C" w:rsidRDefault="00A76E9D" w:rsidP="00007D43">
            <w:pPr>
              <w:rPr>
                <w:rFonts w:ascii="Arial" w:hAnsi="Arial" w:cs="Arial"/>
                <w:b/>
                <w:bCs/>
                <w:i/>
                <w:color w:val="000000"/>
              </w:rPr>
            </w:pPr>
            <w:r w:rsidRPr="000A749C">
              <w:rPr>
                <w:rFonts w:ascii="Arial" w:hAnsi="Arial" w:cs="Arial"/>
                <w:b/>
                <w:bCs/>
                <w:i/>
                <w:color w:val="000000"/>
                <w:sz w:val="22"/>
                <w:szCs w:val="22"/>
              </w:rPr>
              <w:t> </w:t>
            </w:r>
          </w:p>
        </w:tc>
        <w:tc>
          <w:tcPr>
            <w:tcW w:w="1417" w:type="dxa"/>
            <w:tcBorders>
              <w:top w:val="single" w:sz="8" w:space="0" w:color="auto"/>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sz w:val="22"/>
                <w:szCs w:val="22"/>
              </w:rPr>
              <w:t> </w:t>
            </w:r>
          </w:p>
        </w:tc>
        <w:tc>
          <w:tcPr>
            <w:tcW w:w="1342" w:type="dxa"/>
            <w:tcBorders>
              <w:top w:val="single" w:sz="8" w:space="0" w:color="auto"/>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sz w:val="22"/>
                <w:szCs w:val="22"/>
              </w:rPr>
              <w:t> </w:t>
            </w:r>
          </w:p>
        </w:tc>
        <w:tc>
          <w:tcPr>
            <w:tcW w:w="3336" w:type="dxa"/>
            <w:tcBorders>
              <w:top w:val="single" w:sz="8" w:space="0" w:color="auto"/>
              <w:left w:val="nil"/>
              <w:bottom w:val="single" w:sz="8" w:space="0" w:color="auto"/>
              <w:right w:val="single" w:sz="8" w:space="0" w:color="auto"/>
            </w:tcBorders>
            <w:shd w:val="clear" w:color="auto" w:fill="FFFFFF" w:themeFill="background1"/>
            <w:hideMark/>
          </w:tcPr>
          <w:p w:rsidR="00A76E9D" w:rsidRPr="000A749C" w:rsidRDefault="00A76E9D" w:rsidP="00007D43">
            <w:pPr>
              <w:rPr>
                <w:rFonts w:ascii="Arial" w:hAnsi="Arial" w:cs="Arial"/>
                <w:i/>
                <w:color w:val="000000"/>
              </w:rPr>
            </w:pPr>
            <w:r w:rsidRPr="000A749C">
              <w:rPr>
                <w:rFonts w:ascii="Arial" w:hAnsi="Arial" w:cs="Arial"/>
                <w:i/>
                <w:color w:val="000000"/>
                <w:sz w:val="22"/>
                <w:szCs w:val="22"/>
              </w:rPr>
              <w:t> </w:t>
            </w:r>
          </w:p>
        </w:tc>
      </w:tr>
      <w:tr w:rsidR="00A76E9D" w:rsidRPr="00DF6F04" w:rsidTr="00007D43">
        <w:trPr>
          <w:trHeight w:val="174"/>
        </w:trPr>
        <w:tc>
          <w:tcPr>
            <w:tcW w:w="3852" w:type="dxa"/>
            <w:tcBorders>
              <w:top w:val="nil"/>
              <w:left w:val="single" w:sz="8" w:space="0" w:color="auto"/>
              <w:bottom w:val="single" w:sz="8" w:space="0" w:color="auto"/>
              <w:right w:val="single" w:sz="8" w:space="0" w:color="auto"/>
            </w:tcBorders>
            <w:shd w:val="clear" w:color="auto" w:fill="auto"/>
            <w:hideMark/>
          </w:tcPr>
          <w:p w:rsidR="00A76E9D" w:rsidRPr="000A749C" w:rsidRDefault="00A76E9D" w:rsidP="00007D43">
            <w:pPr>
              <w:rPr>
                <w:rFonts w:ascii="Arial" w:hAnsi="Arial" w:cs="Arial"/>
                <w:b/>
                <w:bCs/>
                <w:i/>
                <w:color w:val="000000"/>
              </w:rPr>
            </w:pPr>
            <w:r w:rsidRPr="000A749C">
              <w:rPr>
                <w:rFonts w:ascii="Arial" w:hAnsi="Arial" w:cs="Arial"/>
                <w:b/>
                <w:bCs/>
                <w:i/>
                <w:color w:val="000000" w:themeColor="text1"/>
                <w:sz w:val="22"/>
                <w:szCs w:val="22"/>
              </w:rPr>
              <w:t>TOTAL ASSETS</w:t>
            </w:r>
          </w:p>
        </w:tc>
        <w:tc>
          <w:tcPr>
            <w:tcW w:w="1417"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themeColor="text1"/>
                <w:sz w:val="22"/>
                <w:szCs w:val="22"/>
              </w:rPr>
              <w:t>100</w:t>
            </w:r>
          </w:p>
        </w:tc>
        <w:tc>
          <w:tcPr>
            <w:tcW w:w="1342" w:type="dxa"/>
            <w:tcBorders>
              <w:top w:val="nil"/>
              <w:left w:val="nil"/>
              <w:bottom w:val="single" w:sz="8" w:space="0" w:color="auto"/>
              <w:right w:val="single" w:sz="8" w:space="0" w:color="auto"/>
            </w:tcBorders>
            <w:shd w:val="clear" w:color="auto" w:fill="auto"/>
            <w:hideMark/>
          </w:tcPr>
          <w:p w:rsidR="00A76E9D" w:rsidRPr="000A749C" w:rsidRDefault="00A76E9D" w:rsidP="00007D43">
            <w:pPr>
              <w:jc w:val="center"/>
              <w:rPr>
                <w:rFonts w:ascii="Arial" w:hAnsi="Arial" w:cs="Arial"/>
                <w:b/>
                <w:bCs/>
                <w:i/>
                <w:color w:val="000000"/>
              </w:rPr>
            </w:pPr>
            <w:r w:rsidRPr="000A749C">
              <w:rPr>
                <w:rFonts w:ascii="Arial" w:hAnsi="Arial" w:cs="Arial"/>
                <w:b/>
                <w:bCs/>
                <w:i/>
                <w:color w:val="000000" w:themeColor="text1"/>
                <w:sz w:val="22"/>
                <w:szCs w:val="22"/>
              </w:rPr>
              <w:t>-</w:t>
            </w:r>
          </w:p>
        </w:tc>
        <w:tc>
          <w:tcPr>
            <w:tcW w:w="3336" w:type="dxa"/>
            <w:tcBorders>
              <w:top w:val="nil"/>
              <w:left w:val="nil"/>
              <w:bottom w:val="single" w:sz="8" w:space="0" w:color="auto"/>
              <w:right w:val="single" w:sz="8" w:space="0" w:color="auto"/>
            </w:tcBorders>
            <w:shd w:val="clear" w:color="auto" w:fill="FFFFFF" w:themeFill="background1"/>
            <w:hideMark/>
          </w:tcPr>
          <w:p w:rsidR="00A76E9D" w:rsidRPr="000A749C" w:rsidRDefault="00A76E9D" w:rsidP="00007D43">
            <w:pPr>
              <w:rPr>
                <w:rFonts w:ascii="Arial" w:hAnsi="Arial" w:cs="Arial"/>
                <w:bCs/>
                <w:i/>
                <w:color w:val="000000"/>
              </w:rPr>
            </w:pPr>
            <w:r w:rsidRPr="000A749C">
              <w:rPr>
                <w:rFonts w:ascii="Arial" w:hAnsi="Arial" w:cs="Arial"/>
                <w:bCs/>
                <w:i/>
                <w:color w:val="000000" w:themeColor="text1"/>
                <w:sz w:val="22"/>
                <w:szCs w:val="22"/>
              </w:rPr>
              <w:t> </w:t>
            </w:r>
          </w:p>
        </w:tc>
      </w:tr>
    </w:tbl>
    <w:p w:rsidR="00A76E9D" w:rsidRPr="00DF6F04" w:rsidRDefault="00A76E9D" w:rsidP="00A76E9D">
      <w:pPr>
        <w:pStyle w:val="BodyTextGrey"/>
        <w:spacing w:after="0"/>
        <w:jc w:val="both"/>
        <w:rPr>
          <w:i/>
          <w:color w:val="auto"/>
          <w:sz w:val="24"/>
          <w:szCs w:val="24"/>
        </w:rPr>
      </w:pPr>
      <w:r w:rsidRPr="000A749C">
        <w:rPr>
          <w:i/>
          <w:iCs w:val="0"/>
          <w:color w:val="auto"/>
          <w:sz w:val="24"/>
          <w:szCs w:val="24"/>
        </w:rPr>
        <w:t>*</w:t>
      </w:r>
      <w:r>
        <w:rPr>
          <w:i/>
          <w:color w:val="auto"/>
          <w:sz w:val="24"/>
          <w:szCs w:val="24"/>
        </w:rPr>
        <w:t xml:space="preserve"> Senior Loans Strategic Allocation reduced to 0% as holding is under 0.5%.</w:t>
      </w:r>
    </w:p>
    <w:p w:rsidR="00A76E9D" w:rsidRDefault="00A76E9D" w:rsidP="00A76E9D">
      <w:pPr>
        <w:pStyle w:val="Appendix1"/>
        <w:rPr>
          <w:rFonts w:cs="Arial"/>
          <w:b/>
          <w:color w:val="auto"/>
          <w:sz w:val="24"/>
          <w:szCs w:val="24"/>
        </w:rPr>
        <w:sectPr w:rsidR="00A76E9D" w:rsidSect="006D2AFD">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76E9D" w:rsidRPr="00DF6F04" w:rsidRDefault="00A76E9D" w:rsidP="00A76E9D">
      <w:pPr>
        <w:pStyle w:val="Appendix1"/>
        <w:rPr>
          <w:rFonts w:cs="Arial"/>
          <w:b/>
          <w:color w:val="auto"/>
          <w:sz w:val="24"/>
          <w:szCs w:val="24"/>
        </w:rPr>
      </w:pPr>
      <w:r w:rsidRPr="00DF6F04">
        <w:rPr>
          <w:rFonts w:cs="Arial"/>
          <w:b/>
          <w:color w:val="auto"/>
          <w:sz w:val="24"/>
          <w:szCs w:val="24"/>
        </w:rPr>
        <w:lastRenderedPageBreak/>
        <w:t xml:space="preserve">Appendix </w:t>
      </w:r>
      <w:r>
        <w:rPr>
          <w:rFonts w:cs="Arial"/>
          <w:b/>
          <w:color w:val="auto"/>
          <w:sz w:val="24"/>
          <w:szCs w:val="24"/>
        </w:rPr>
        <w:t>C</w:t>
      </w:r>
      <w:r w:rsidRPr="00DF6F04">
        <w:rPr>
          <w:rFonts w:cs="Arial"/>
          <w:b/>
          <w:color w:val="auto"/>
          <w:sz w:val="24"/>
          <w:szCs w:val="24"/>
        </w:rPr>
        <w:t xml:space="preserve">:  </w:t>
      </w:r>
      <w:r>
        <w:rPr>
          <w:rFonts w:cs="Arial"/>
          <w:b/>
          <w:color w:val="auto"/>
          <w:sz w:val="24"/>
          <w:szCs w:val="24"/>
        </w:rPr>
        <w:t>Derisking Strategy</w:t>
      </w:r>
    </w:p>
    <w:tbl>
      <w:tblPr>
        <w:tblW w:w="13692" w:type="dxa"/>
        <w:tblInd w:w="-3" w:type="dxa"/>
        <w:tblCellMar>
          <w:left w:w="0" w:type="dxa"/>
          <w:right w:w="0" w:type="dxa"/>
        </w:tblCellMar>
        <w:tblLook w:val="04A0" w:firstRow="1" w:lastRow="0" w:firstColumn="1" w:lastColumn="0" w:noHBand="0" w:noVBand="1"/>
      </w:tblPr>
      <w:tblGrid>
        <w:gridCol w:w="2570"/>
        <w:gridCol w:w="1627"/>
        <w:gridCol w:w="657"/>
        <w:gridCol w:w="657"/>
        <w:gridCol w:w="657"/>
        <w:gridCol w:w="657"/>
        <w:gridCol w:w="657"/>
        <w:gridCol w:w="779"/>
        <w:gridCol w:w="889"/>
        <w:gridCol w:w="6"/>
        <w:gridCol w:w="4530"/>
        <w:gridCol w:w="6"/>
      </w:tblGrid>
      <w:tr w:rsidR="00A76E9D" w:rsidRPr="007D7C9B" w:rsidTr="00007D43">
        <w:trPr>
          <w:trHeight w:val="135"/>
        </w:trPr>
        <w:tc>
          <w:tcPr>
            <w:tcW w:w="257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86" w:type="dxa"/>
            <w:gridSpan w:val="9"/>
            <w:tcBorders>
              <w:top w:val="single" w:sz="8" w:space="0" w:color="auto"/>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center"/>
              <w:rPr>
                <w:rFonts w:ascii="Arial" w:eastAsiaTheme="minorHAnsi" w:hAnsi="Arial" w:cs="Arial"/>
                <w:b/>
                <w:bCs/>
                <w:color w:val="000000"/>
              </w:rPr>
            </w:pPr>
            <w:r w:rsidRPr="007D7C9B">
              <w:rPr>
                <w:rFonts w:ascii="Arial" w:hAnsi="Arial" w:cs="Arial"/>
                <w:b/>
                <w:bCs/>
                <w:color w:val="000000"/>
                <w:sz w:val="22"/>
                <w:szCs w:val="22"/>
              </w:rPr>
              <w:t>Triggers</w:t>
            </w:r>
          </w:p>
        </w:tc>
        <w:tc>
          <w:tcPr>
            <w:tcW w:w="4536" w:type="dxa"/>
            <w:gridSpan w:val="2"/>
            <w:tcBorders>
              <w:top w:val="single" w:sz="8" w:space="0" w:color="auto"/>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rPr>
                <w:rFonts w:ascii="Arial" w:hAnsi="Arial" w:cs="Arial"/>
                <w:b/>
                <w:bCs/>
                <w:color w:val="000000"/>
              </w:rPr>
            </w:pPr>
          </w:p>
        </w:tc>
      </w:tr>
      <w:tr w:rsidR="00A76E9D" w:rsidRPr="007D7C9B" w:rsidTr="00007D43">
        <w:trPr>
          <w:gridAfter w:val="1"/>
          <w:wAfter w:w="6" w:type="dxa"/>
          <w:trHeight w:val="270"/>
        </w:trPr>
        <w:tc>
          <w:tcPr>
            <w:tcW w:w="25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jc w:val="center"/>
              <w:rPr>
                <w:rFonts w:ascii="Arial" w:eastAsiaTheme="minorHAnsi" w:hAnsi="Arial" w:cs="Arial"/>
                <w:b/>
                <w:bCs/>
                <w:color w:val="000000"/>
              </w:rPr>
            </w:pPr>
            <w:r w:rsidRPr="007D7C9B">
              <w:rPr>
                <w:rFonts w:ascii="Arial" w:hAnsi="Arial" w:cs="Arial"/>
                <w:b/>
                <w:bCs/>
                <w:color w:val="000000"/>
                <w:sz w:val="22"/>
                <w:szCs w:val="22"/>
              </w:rPr>
              <w:t>Asset Type</w:t>
            </w:r>
          </w:p>
        </w:tc>
        <w:tc>
          <w:tcPr>
            <w:tcW w:w="1627" w:type="dxa"/>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0A749C" w:rsidRDefault="00A76E9D" w:rsidP="00007D43">
            <w:pPr>
              <w:jc w:val="center"/>
              <w:rPr>
                <w:rFonts w:ascii="Arial" w:hAnsi="Arial" w:cs="Arial"/>
                <w:b/>
                <w:bCs/>
                <w:i/>
                <w:color w:val="000000" w:themeColor="text1"/>
              </w:rPr>
            </w:pPr>
            <w:r w:rsidRPr="000A749C">
              <w:rPr>
                <w:rFonts w:ascii="Arial" w:hAnsi="Arial" w:cs="Arial"/>
                <w:b/>
                <w:bCs/>
                <w:i/>
                <w:color w:val="000000" w:themeColor="text1"/>
                <w:sz w:val="22"/>
                <w:szCs w:val="22"/>
              </w:rPr>
              <w:t>Strategic Allocation</w:t>
            </w:r>
          </w:p>
          <w:p w:rsidR="00A76E9D" w:rsidRPr="004B3733" w:rsidRDefault="00A76E9D" w:rsidP="00007D43">
            <w:pPr>
              <w:jc w:val="center"/>
              <w:rPr>
                <w:rFonts w:ascii="Arial" w:hAnsi="Arial" w:cs="Arial"/>
                <w:b/>
                <w:bCs/>
                <w:i/>
                <w:color w:val="000000" w:themeColor="text1"/>
              </w:rPr>
            </w:pPr>
            <w:r>
              <w:rPr>
                <w:rFonts w:ascii="Arial" w:hAnsi="Arial" w:cs="Arial"/>
                <w:b/>
                <w:bCs/>
                <w:i/>
                <w:color w:val="000000" w:themeColor="text1"/>
                <w:sz w:val="22"/>
                <w:szCs w:val="22"/>
              </w:rPr>
              <w:t>15 June 2017</w:t>
            </w:r>
          </w:p>
        </w:tc>
        <w:tc>
          <w:tcPr>
            <w:tcW w:w="657" w:type="dxa"/>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jc w:val="center"/>
              <w:rPr>
                <w:rFonts w:ascii="Arial" w:hAnsi="Arial" w:cs="Arial"/>
                <w:b/>
                <w:bCs/>
                <w:color w:val="000000"/>
              </w:rPr>
            </w:pPr>
            <w:r w:rsidRPr="007D7C9B">
              <w:rPr>
                <w:rFonts w:ascii="Arial" w:hAnsi="Arial" w:cs="Arial"/>
                <w:b/>
                <w:bCs/>
                <w:color w:val="000000"/>
                <w:sz w:val="22"/>
                <w:szCs w:val="22"/>
              </w:rPr>
              <w:t>80%</w:t>
            </w:r>
          </w:p>
        </w:tc>
        <w:tc>
          <w:tcPr>
            <w:tcW w:w="657" w:type="dxa"/>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jc w:val="center"/>
              <w:rPr>
                <w:rFonts w:ascii="Arial" w:hAnsi="Arial" w:cs="Arial"/>
                <w:b/>
                <w:bCs/>
                <w:color w:val="000000"/>
              </w:rPr>
            </w:pPr>
            <w:r w:rsidRPr="007D7C9B">
              <w:rPr>
                <w:rFonts w:ascii="Arial" w:hAnsi="Arial" w:cs="Arial"/>
                <w:b/>
                <w:bCs/>
                <w:color w:val="000000"/>
                <w:sz w:val="22"/>
                <w:szCs w:val="22"/>
              </w:rPr>
              <w:t>85%</w:t>
            </w:r>
          </w:p>
        </w:tc>
        <w:tc>
          <w:tcPr>
            <w:tcW w:w="657" w:type="dxa"/>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jc w:val="center"/>
              <w:rPr>
                <w:rFonts w:ascii="Arial" w:hAnsi="Arial" w:cs="Arial"/>
                <w:b/>
                <w:bCs/>
                <w:color w:val="000000"/>
              </w:rPr>
            </w:pPr>
            <w:r w:rsidRPr="007D7C9B">
              <w:rPr>
                <w:rFonts w:ascii="Arial" w:hAnsi="Arial" w:cs="Arial"/>
                <w:b/>
                <w:bCs/>
                <w:color w:val="000000"/>
                <w:sz w:val="22"/>
                <w:szCs w:val="22"/>
              </w:rPr>
              <w:t>90%</w:t>
            </w:r>
          </w:p>
        </w:tc>
        <w:tc>
          <w:tcPr>
            <w:tcW w:w="657" w:type="dxa"/>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jc w:val="center"/>
              <w:rPr>
                <w:rFonts w:ascii="Arial" w:hAnsi="Arial" w:cs="Arial"/>
                <w:b/>
                <w:bCs/>
                <w:color w:val="000000"/>
              </w:rPr>
            </w:pPr>
            <w:r w:rsidRPr="007D7C9B">
              <w:rPr>
                <w:rFonts w:ascii="Arial" w:hAnsi="Arial" w:cs="Arial"/>
                <w:b/>
                <w:bCs/>
                <w:color w:val="000000"/>
                <w:sz w:val="22"/>
                <w:szCs w:val="22"/>
              </w:rPr>
              <w:t>93%</w:t>
            </w:r>
          </w:p>
        </w:tc>
        <w:tc>
          <w:tcPr>
            <w:tcW w:w="657" w:type="dxa"/>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jc w:val="center"/>
              <w:rPr>
                <w:rFonts w:ascii="Arial" w:hAnsi="Arial" w:cs="Arial"/>
                <w:b/>
                <w:bCs/>
                <w:color w:val="000000"/>
              </w:rPr>
            </w:pPr>
            <w:r w:rsidRPr="007D7C9B">
              <w:rPr>
                <w:rFonts w:ascii="Arial" w:hAnsi="Arial" w:cs="Arial"/>
                <w:b/>
                <w:bCs/>
                <w:color w:val="000000"/>
                <w:sz w:val="22"/>
                <w:szCs w:val="22"/>
              </w:rPr>
              <w:t>96%</w:t>
            </w:r>
          </w:p>
        </w:tc>
        <w:tc>
          <w:tcPr>
            <w:tcW w:w="779" w:type="dxa"/>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jc w:val="center"/>
              <w:rPr>
                <w:rFonts w:ascii="Arial" w:hAnsi="Arial" w:cs="Arial"/>
                <w:b/>
                <w:bCs/>
                <w:color w:val="000000"/>
              </w:rPr>
            </w:pPr>
            <w:r w:rsidRPr="007D7C9B">
              <w:rPr>
                <w:rFonts w:ascii="Arial" w:hAnsi="Arial" w:cs="Arial"/>
                <w:b/>
                <w:bCs/>
                <w:color w:val="000000"/>
                <w:sz w:val="22"/>
                <w:szCs w:val="22"/>
              </w:rPr>
              <w:t>100%</w:t>
            </w:r>
          </w:p>
        </w:tc>
        <w:tc>
          <w:tcPr>
            <w:tcW w:w="889" w:type="dxa"/>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jc w:val="center"/>
              <w:rPr>
                <w:rFonts w:ascii="Arial" w:hAnsi="Arial" w:cs="Arial"/>
                <w:b/>
                <w:bCs/>
                <w:color w:val="000000"/>
              </w:rPr>
            </w:pPr>
            <w:r w:rsidRPr="007D7C9B">
              <w:rPr>
                <w:rFonts w:ascii="Arial" w:hAnsi="Arial" w:cs="Arial"/>
                <w:b/>
                <w:bCs/>
                <w:color w:val="000000"/>
                <w:sz w:val="22"/>
                <w:szCs w:val="22"/>
              </w:rPr>
              <w:t>Target</w:t>
            </w:r>
          </w:p>
        </w:tc>
        <w:tc>
          <w:tcPr>
            <w:tcW w:w="4536" w:type="dxa"/>
            <w:gridSpan w:val="2"/>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rPr>
                <w:rFonts w:ascii="Arial" w:hAnsi="Arial" w:cs="Arial"/>
                <w:b/>
                <w:bCs/>
                <w:color w:val="000000"/>
              </w:rPr>
            </w:pPr>
            <w:r w:rsidRPr="007D7C9B">
              <w:rPr>
                <w:rFonts w:ascii="Arial" w:hAnsi="Arial" w:cs="Arial"/>
                <w:b/>
                <w:bCs/>
                <w:color w:val="000000"/>
                <w:sz w:val="22"/>
                <w:szCs w:val="22"/>
              </w:rPr>
              <w:t>Notes</w:t>
            </w:r>
          </w:p>
        </w:tc>
      </w:tr>
      <w:tr w:rsidR="00A76E9D" w:rsidRPr="007D7C9B" w:rsidTr="00007D43">
        <w:trPr>
          <w:gridAfter w:val="1"/>
          <w:wAfter w:w="6" w:type="dxa"/>
          <w:trHeight w:val="135"/>
        </w:trPr>
        <w:tc>
          <w:tcPr>
            <w:tcW w:w="25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rPr>
                <w:rFonts w:ascii="Arial" w:hAnsi="Arial" w:cs="Arial"/>
                <w:b/>
                <w:bCs/>
                <w:color w:val="000000"/>
              </w:rPr>
            </w:pPr>
            <w:r w:rsidRPr="007D7C9B">
              <w:rPr>
                <w:rFonts w:ascii="Arial" w:hAnsi="Arial" w:cs="Arial"/>
                <w:b/>
                <w:bCs/>
                <w:color w:val="000000"/>
                <w:sz w:val="22"/>
                <w:szCs w:val="22"/>
              </w:rPr>
              <w:t>High Growth Assets</w:t>
            </w:r>
          </w:p>
        </w:tc>
        <w:tc>
          <w:tcPr>
            <w:tcW w:w="1627" w:type="dxa"/>
            <w:tcBorders>
              <w:top w:val="nil"/>
              <w:left w:val="nil"/>
              <w:bottom w:val="single" w:sz="8" w:space="0" w:color="auto"/>
              <w:right w:val="single" w:sz="8" w:space="0" w:color="auto"/>
            </w:tcBorders>
            <w:noWrap/>
            <w:tcMar>
              <w:top w:w="15" w:type="dxa"/>
              <w:left w:w="108" w:type="dxa"/>
              <w:bottom w:w="15" w:type="dxa"/>
              <w:right w:w="108" w:type="dxa"/>
            </w:tcMar>
            <w:hideMark/>
          </w:tcPr>
          <w:p w:rsidR="00A76E9D" w:rsidRDefault="00A76E9D" w:rsidP="00007D43">
            <w:pPr>
              <w:jc w:val="center"/>
            </w:pPr>
            <w:r w:rsidRPr="00C2226D">
              <w:rPr>
                <w:rFonts w:ascii="Arial" w:hAnsi="Arial" w:cs="Arial"/>
                <w:b/>
                <w:bCs/>
                <w:i/>
                <w:color w:val="000000" w:themeColor="text1"/>
                <w:sz w:val="22"/>
                <w:szCs w:val="22"/>
              </w:rPr>
              <w:t>%</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hideMark/>
          </w:tcPr>
          <w:p w:rsidR="00A76E9D" w:rsidRDefault="00A76E9D" w:rsidP="00007D43">
            <w:pPr>
              <w:jc w:val="center"/>
            </w:pPr>
            <w:r w:rsidRPr="00C2226D">
              <w:rPr>
                <w:rFonts w:ascii="Arial" w:hAnsi="Arial" w:cs="Arial"/>
                <w:b/>
                <w:bCs/>
                <w:i/>
                <w:color w:val="000000" w:themeColor="text1"/>
                <w:sz w:val="22"/>
                <w:szCs w:val="22"/>
              </w:rPr>
              <w:t>%</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hideMark/>
          </w:tcPr>
          <w:p w:rsidR="00A76E9D" w:rsidRDefault="00A76E9D" w:rsidP="00007D43">
            <w:pPr>
              <w:jc w:val="center"/>
            </w:pPr>
            <w:r w:rsidRPr="00C2226D">
              <w:rPr>
                <w:rFonts w:ascii="Arial" w:hAnsi="Arial" w:cs="Arial"/>
                <w:b/>
                <w:bCs/>
                <w:i/>
                <w:color w:val="000000" w:themeColor="text1"/>
                <w:sz w:val="22"/>
                <w:szCs w:val="22"/>
              </w:rPr>
              <w:t>%</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hideMark/>
          </w:tcPr>
          <w:p w:rsidR="00A76E9D" w:rsidRDefault="00A76E9D" w:rsidP="00007D43">
            <w:pPr>
              <w:jc w:val="center"/>
            </w:pPr>
            <w:r w:rsidRPr="00C2226D">
              <w:rPr>
                <w:rFonts w:ascii="Arial" w:hAnsi="Arial" w:cs="Arial"/>
                <w:b/>
                <w:bCs/>
                <w:i/>
                <w:color w:val="000000" w:themeColor="text1"/>
                <w:sz w:val="22"/>
                <w:szCs w:val="22"/>
              </w:rPr>
              <w:t>%</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hideMark/>
          </w:tcPr>
          <w:p w:rsidR="00A76E9D" w:rsidRDefault="00A76E9D" w:rsidP="00007D43">
            <w:pPr>
              <w:jc w:val="center"/>
            </w:pPr>
            <w:r w:rsidRPr="00C2226D">
              <w:rPr>
                <w:rFonts w:ascii="Arial" w:hAnsi="Arial" w:cs="Arial"/>
                <w:b/>
                <w:bCs/>
                <w:i/>
                <w:color w:val="000000" w:themeColor="text1"/>
                <w:sz w:val="22"/>
                <w:szCs w:val="22"/>
              </w:rPr>
              <w:t>%</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hideMark/>
          </w:tcPr>
          <w:p w:rsidR="00A76E9D" w:rsidRDefault="00A76E9D" w:rsidP="00007D43">
            <w:pPr>
              <w:jc w:val="center"/>
            </w:pPr>
            <w:r w:rsidRPr="00C2226D">
              <w:rPr>
                <w:rFonts w:ascii="Arial" w:hAnsi="Arial" w:cs="Arial"/>
                <w:b/>
                <w:bCs/>
                <w:i/>
                <w:color w:val="000000" w:themeColor="text1"/>
                <w:sz w:val="22"/>
                <w:szCs w:val="22"/>
              </w:rPr>
              <w:t>%</w:t>
            </w:r>
          </w:p>
        </w:tc>
        <w:tc>
          <w:tcPr>
            <w:tcW w:w="779" w:type="dxa"/>
            <w:tcBorders>
              <w:top w:val="nil"/>
              <w:left w:val="nil"/>
              <w:bottom w:val="single" w:sz="8" w:space="0" w:color="auto"/>
              <w:right w:val="single" w:sz="8" w:space="0" w:color="auto"/>
            </w:tcBorders>
            <w:noWrap/>
            <w:tcMar>
              <w:top w:w="15" w:type="dxa"/>
              <w:left w:w="108" w:type="dxa"/>
              <w:bottom w:w="15" w:type="dxa"/>
              <w:right w:w="108" w:type="dxa"/>
            </w:tcMar>
            <w:hideMark/>
          </w:tcPr>
          <w:p w:rsidR="00A76E9D" w:rsidRDefault="00A76E9D" w:rsidP="00007D43">
            <w:pPr>
              <w:jc w:val="center"/>
            </w:pPr>
            <w:r w:rsidRPr="00C2226D">
              <w:rPr>
                <w:rFonts w:ascii="Arial" w:hAnsi="Arial" w:cs="Arial"/>
                <w:b/>
                <w:bCs/>
                <w:i/>
                <w:color w:val="000000" w:themeColor="text1"/>
                <w:sz w:val="22"/>
                <w:szCs w:val="22"/>
              </w:rPr>
              <w:t>%</w:t>
            </w:r>
          </w:p>
        </w:tc>
        <w:tc>
          <w:tcPr>
            <w:tcW w:w="889" w:type="dxa"/>
            <w:tcBorders>
              <w:top w:val="nil"/>
              <w:left w:val="nil"/>
              <w:bottom w:val="single" w:sz="8" w:space="0" w:color="auto"/>
              <w:right w:val="single" w:sz="8" w:space="0" w:color="auto"/>
            </w:tcBorders>
            <w:noWrap/>
            <w:tcMar>
              <w:top w:w="15" w:type="dxa"/>
              <w:left w:w="108" w:type="dxa"/>
              <w:bottom w:w="15" w:type="dxa"/>
              <w:right w:w="108" w:type="dxa"/>
            </w:tcMar>
            <w:hideMark/>
          </w:tcPr>
          <w:p w:rsidR="00A76E9D" w:rsidRDefault="00A76E9D" w:rsidP="00007D43">
            <w:pPr>
              <w:jc w:val="center"/>
            </w:pPr>
            <w:r w:rsidRPr="00C2226D">
              <w:rPr>
                <w:rFonts w:ascii="Arial" w:hAnsi="Arial" w:cs="Arial"/>
                <w:b/>
                <w:bCs/>
                <w:i/>
                <w:color w:val="000000" w:themeColor="text1"/>
                <w:sz w:val="22"/>
                <w:szCs w:val="22"/>
              </w:rPr>
              <w:t>%</w:t>
            </w:r>
          </w:p>
        </w:tc>
        <w:tc>
          <w:tcPr>
            <w:tcW w:w="4536" w:type="dxa"/>
            <w:gridSpan w:val="2"/>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rPr>
                <w:rFonts w:ascii="Arial" w:hAnsi="Arial" w:cs="Arial"/>
              </w:rPr>
            </w:pPr>
          </w:p>
        </w:tc>
      </w:tr>
      <w:tr w:rsidR="00A76E9D" w:rsidRPr="007D7C9B" w:rsidTr="00007D43">
        <w:trPr>
          <w:gridAfter w:val="1"/>
          <w:wAfter w:w="6" w:type="dxa"/>
          <w:trHeight w:val="135"/>
        </w:trPr>
        <w:tc>
          <w:tcPr>
            <w:tcW w:w="257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eastAsiaTheme="minorHAnsi" w:hAnsi="Arial" w:cs="Arial"/>
                <w:color w:val="000000"/>
              </w:rPr>
            </w:pPr>
            <w:r w:rsidRPr="007D7C9B">
              <w:rPr>
                <w:rFonts w:ascii="Arial" w:hAnsi="Arial" w:cs="Arial"/>
                <w:color w:val="000000"/>
                <w:sz w:val="22"/>
                <w:szCs w:val="22"/>
              </w:rPr>
              <w:t>Global Equity</w:t>
            </w:r>
          </w:p>
        </w:tc>
        <w:tc>
          <w:tcPr>
            <w:tcW w:w="162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77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88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4536" w:type="dxa"/>
            <w:gridSpan w:val="2"/>
            <w:vMerge w:val="restart"/>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rPr>
                <w:rFonts w:ascii="Arial" w:eastAsiaTheme="minorHAnsi" w:hAnsi="Arial" w:cs="Arial"/>
                <w:color w:val="000000"/>
              </w:rPr>
            </w:pPr>
            <w:r w:rsidRPr="007D7C9B">
              <w:rPr>
                <w:rFonts w:ascii="Arial" w:hAnsi="Arial" w:cs="Arial"/>
                <w:color w:val="000000"/>
                <w:sz w:val="22"/>
                <w:szCs w:val="22"/>
              </w:rPr>
              <w:t>Reduce Equity to 35% when fully funded. Maintain income generating to cover cashflow requirements - all allocation is passive / fundamental index</w:t>
            </w:r>
          </w:p>
        </w:tc>
      </w:tr>
      <w:tr w:rsidR="00A76E9D" w:rsidRPr="007D7C9B" w:rsidTr="00007D43">
        <w:trPr>
          <w:gridAfter w:val="1"/>
          <w:wAfter w:w="6" w:type="dxa"/>
          <w:trHeight w:val="135"/>
        </w:trPr>
        <w:tc>
          <w:tcPr>
            <w:tcW w:w="257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ind w:firstLine="440"/>
              <w:rPr>
                <w:rFonts w:ascii="Arial" w:hAnsi="Arial" w:cs="Arial"/>
                <w:color w:val="000000"/>
              </w:rPr>
            </w:pPr>
            <w:r w:rsidRPr="007D7C9B">
              <w:rPr>
                <w:rFonts w:ascii="Arial" w:hAnsi="Arial" w:cs="Arial"/>
                <w:color w:val="000000"/>
                <w:sz w:val="22"/>
                <w:szCs w:val="22"/>
              </w:rPr>
              <w:t>Growth</w:t>
            </w:r>
          </w:p>
        </w:tc>
        <w:tc>
          <w:tcPr>
            <w:tcW w:w="162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17</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17</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17</w:t>
            </w:r>
          </w:p>
        </w:tc>
        <w:tc>
          <w:tcPr>
            <w:tcW w:w="657" w:type="dxa"/>
            <w:tcBorders>
              <w:top w:val="nil"/>
              <w:left w:val="nil"/>
              <w:bottom w:val="single" w:sz="8" w:space="0" w:color="auto"/>
              <w:right w:val="single" w:sz="8" w:space="0" w:color="auto"/>
            </w:tcBorders>
            <w:shd w:val="clear" w:color="auto" w:fill="FFFF0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15</w:t>
            </w:r>
          </w:p>
        </w:tc>
        <w:tc>
          <w:tcPr>
            <w:tcW w:w="657" w:type="dxa"/>
            <w:tcBorders>
              <w:top w:val="nil"/>
              <w:left w:val="nil"/>
              <w:bottom w:val="single" w:sz="8" w:space="0" w:color="auto"/>
              <w:right w:val="single" w:sz="8" w:space="0" w:color="auto"/>
            </w:tcBorders>
            <w:shd w:val="clear" w:color="auto" w:fill="FFFFFF"/>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15</w:t>
            </w:r>
          </w:p>
        </w:tc>
        <w:tc>
          <w:tcPr>
            <w:tcW w:w="657" w:type="dxa"/>
            <w:tcBorders>
              <w:top w:val="nil"/>
              <w:left w:val="nil"/>
              <w:bottom w:val="single" w:sz="8" w:space="0" w:color="auto"/>
              <w:right w:val="single" w:sz="8" w:space="0" w:color="auto"/>
            </w:tcBorders>
            <w:shd w:val="clear" w:color="auto" w:fill="FFC00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10</w:t>
            </w:r>
          </w:p>
        </w:tc>
        <w:tc>
          <w:tcPr>
            <w:tcW w:w="779" w:type="dxa"/>
            <w:tcBorders>
              <w:top w:val="nil"/>
              <w:left w:val="nil"/>
              <w:bottom w:val="single" w:sz="8" w:space="0" w:color="auto"/>
              <w:right w:val="single" w:sz="8" w:space="0" w:color="auto"/>
            </w:tcBorders>
            <w:shd w:val="clear" w:color="auto" w:fill="FF000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88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4536" w:type="dxa"/>
            <w:gridSpan w:val="2"/>
            <w:vMerge/>
            <w:tcBorders>
              <w:top w:val="nil"/>
              <w:left w:val="nil"/>
              <w:bottom w:val="single" w:sz="8" w:space="0" w:color="auto"/>
              <w:right w:val="single" w:sz="8" w:space="0" w:color="auto"/>
            </w:tcBorders>
            <w:vAlign w:val="center"/>
            <w:hideMark/>
          </w:tcPr>
          <w:p w:rsidR="00A76E9D" w:rsidRPr="007D7C9B" w:rsidRDefault="00A76E9D" w:rsidP="00007D43">
            <w:pPr>
              <w:rPr>
                <w:rFonts w:ascii="Arial" w:eastAsiaTheme="minorHAnsi" w:hAnsi="Arial" w:cs="Arial"/>
                <w:color w:val="000000"/>
              </w:rPr>
            </w:pPr>
          </w:p>
        </w:tc>
      </w:tr>
      <w:tr w:rsidR="00A76E9D" w:rsidRPr="007D7C9B" w:rsidTr="00007D43">
        <w:trPr>
          <w:gridAfter w:val="1"/>
          <w:wAfter w:w="6" w:type="dxa"/>
          <w:trHeight w:val="135"/>
        </w:trPr>
        <w:tc>
          <w:tcPr>
            <w:tcW w:w="257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ind w:firstLine="440"/>
              <w:rPr>
                <w:rFonts w:ascii="Arial" w:hAnsi="Arial" w:cs="Arial"/>
                <w:color w:val="000000"/>
              </w:rPr>
            </w:pPr>
            <w:r w:rsidRPr="007D7C9B">
              <w:rPr>
                <w:rFonts w:ascii="Arial" w:hAnsi="Arial" w:cs="Arial"/>
                <w:color w:val="000000"/>
                <w:sz w:val="22"/>
                <w:szCs w:val="22"/>
              </w:rPr>
              <w:t>Income Generating</w:t>
            </w:r>
          </w:p>
        </w:tc>
        <w:tc>
          <w:tcPr>
            <w:tcW w:w="162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15</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15</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15</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15</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15</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15</w:t>
            </w:r>
          </w:p>
        </w:tc>
        <w:tc>
          <w:tcPr>
            <w:tcW w:w="779" w:type="dxa"/>
            <w:tcBorders>
              <w:top w:val="nil"/>
              <w:left w:val="nil"/>
              <w:bottom w:val="single" w:sz="8" w:space="0" w:color="auto"/>
              <w:right w:val="single" w:sz="8" w:space="0" w:color="auto"/>
            </w:tcBorders>
            <w:shd w:val="clear" w:color="auto" w:fill="FF000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88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4536" w:type="dxa"/>
            <w:gridSpan w:val="2"/>
            <w:vMerge/>
            <w:tcBorders>
              <w:top w:val="nil"/>
              <w:left w:val="nil"/>
              <w:bottom w:val="single" w:sz="8" w:space="0" w:color="auto"/>
              <w:right w:val="single" w:sz="8" w:space="0" w:color="auto"/>
            </w:tcBorders>
            <w:vAlign w:val="center"/>
            <w:hideMark/>
          </w:tcPr>
          <w:p w:rsidR="00A76E9D" w:rsidRPr="007D7C9B" w:rsidRDefault="00A76E9D" w:rsidP="00007D43">
            <w:pPr>
              <w:rPr>
                <w:rFonts w:ascii="Arial" w:eastAsiaTheme="minorHAnsi" w:hAnsi="Arial" w:cs="Arial"/>
                <w:color w:val="000000"/>
              </w:rPr>
            </w:pPr>
          </w:p>
        </w:tc>
      </w:tr>
      <w:tr w:rsidR="00A76E9D" w:rsidRPr="007D7C9B" w:rsidTr="00007D43">
        <w:trPr>
          <w:gridAfter w:val="1"/>
          <w:wAfter w:w="6" w:type="dxa"/>
          <w:trHeight w:val="135"/>
        </w:trPr>
        <w:tc>
          <w:tcPr>
            <w:tcW w:w="257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ind w:left="447"/>
              <w:rPr>
                <w:rFonts w:ascii="Arial" w:hAnsi="Arial" w:cs="Arial"/>
                <w:color w:val="000000"/>
              </w:rPr>
            </w:pPr>
            <w:r w:rsidRPr="007D7C9B">
              <w:rPr>
                <w:rFonts w:ascii="Arial" w:hAnsi="Arial" w:cs="Arial"/>
                <w:color w:val="000000"/>
                <w:sz w:val="22"/>
                <w:szCs w:val="22"/>
              </w:rPr>
              <w:t>Passive Developed World</w:t>
            </w:r>
          </w:p>
        </w:tc>
        <w:tc>
          <w:tcPr>
            <w:tcW w:w="1627" w:type="dxa"/>
            <w:tcBorders>
              <w:top w:val="nil"/>
              <w:left w:val="nil"/>
              <w:bottom w:val="single" w:sz="8" w:space="0" w:color="auto"/>
              <w:right w:val="single" w:sz="8" w:space="0" w:color="auto"/>
            </w:tcBorders>
            <w:shd w:val="clear" w:color="auto" w:fill="FFFFFF"/>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16</w:t>
            </w:r>
          </w:p>
        </w:tc>
        <w:tc>
          <w:tcPr>
            <w:tcW w:w="657" w:type="dxa"/>
            <w:tcBorders>
              <w:top w:val="nil"/>
              <w:left w:val="nil"/>
              <w:bottom w:val="single" w:sz="8" w:space="0" w:color="auto"/>
              <w:right w:val="single" w:sz="8" w:space="0" w:color="auto"/>
            </w:tcBorders>
            <w:shd w:val="clear" w:color="auto" w:fill="FFFF0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14</w:t>
            </w:r>
          </w:p>
        </w:tc>
        <w:tc>
          <w:tcPr>
            <w:tcW w:w="657" w:type="dxa"/>
            <w:tcBorders>
              <w:top w:val="nil"/>
              <w:left w:val="nil"/>
              <w:bottom w:val="single" w:sz="8" w:space="0" w:color="auto"/>
              <w:right w:val="single" w:sz="8" w:space="0" w:color="auto"/>
            </w:tcBorders>
            <w:shd w:val="clear" w:color="auto" w:fill="FFFF0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13</w:t>
            </w:r>
          </w:p>
        </w:tc>
        <w:tc>
          <w:tcPr>
            <w:tcW w:w="657" w:type="dxa"/>
            <w:tcBorders>
              <w:top w:val="nil"/>
              <w:left w:val="nil"/>
              <w:bottom w:val="single" w:sz="8" w:space="0" w:color="auto"/>
              <w:right w:val="single" w:sz="8" w:space="0" w:color="auto"/>
            </w:tcBorders>
            <w:shd w:val="clear" w:color="auto" w:fill="FFFFFF"/>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13</w:t>
            </w:r>
          </w:p>
        </w:tc>
        <w:tc>
          <w:tcPr>
            <w:tcW w:w="657" w:type="dxa"/>
            <w:tcBorders>
              <w:top w:val="nil"/>
              <w:left w:val="nil"/>
              <w:bottom w:val="single" w:sz="8" w:space="0" w:color="auto"/>
              <w:right w:val="single" w:sz="8" w:space="0" w:color="auto"/>
            </w:tcBorders>
            <w:shd w:val="clear" w:color="auto" w:fill="FF000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779" w:type="dxa"/>
            <w:tcBorders>
              <w:top w:val="nil"/>
              <w:left w:val="nil"/>
              <w:bottom w:val="single" w:sz="8" w:space="0" w:color="auto"/>
              <w:right w:val="single" w:sz="8" w:space="0" w:color="auto"/>
            </w:tcBorders>
            <w:shd w:val="clear" w:color="auto" w:fill="FFFFFF"/>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88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4536" w:type="dxa"/>
            <w:gridSpan w:val="2"/>
            <w:vMerge/>
            <w:tcBorders>
              <w:top w:val="nil"/>
              <w:left w:val="nil"/>
              <w:bottom w:val="single" w:sz="8" w:space="0" w:color="auto"/>
              <w:right w:val="single" w:sz="8" w:space="0" w:color="auto"/>
            </w:tcBorders>
            <w:vAlign w:val="center"/>
            <w:hideMark/>
          </w:tcPr>
          <w:p w:rsidR="00A76E9D" w:rsidRPr="007D7C9B" w:rsidRDefault="00A76E9D" w:rsidP="00007D43">
            <w:pPr>
              <w:rPr>
                <w:rFonts w:ascii="Arial" w:eastAsiaTheme="minorHAnsi" w:hAnsi="Arial" w:cs="Arial"/>
                <w:color w:val="000000"/>
              </w:rPr>
            </w:pPr>
          </w:p>
        </w:tc>
      </w:tr>
      <w:tr w:rsidR="00A76E9D" w:rsidRPr="007D7C9B" w:rsidTr="00007D43">
        <w:trPr>
          <w:gridAfter w:val="1"/>
          <w:wAfter w:w="6" w:type="dxa"/>
          <w:trHeight w:val="135"/>
        </w:trPr>
        <w:tc>
          <w:tcPr>
            <w:tcW w:w="257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ind w:left="447"/>
              <w:rPr>
                <w:rFonts w:ascii="Arial" w:hAnsi="Arial" w:cs="Arial"/>
                <w:color w:val="000000"/>
              </w:rPr>
            </w:pPr>
            <w:r w:rsidRPr="007D7C9B">
              <w:rPr>
                <w:rFonts w:ascii="Arial" w:hAnsi="Arial" w:cs="Arial"/>
                <w:color w:val="000000"/>
                <w:sz w:val="22"/>
                <w:szCs w:val="22"/>
              </w:rPr>
              <w:t>Passive Income Generating</w:t>
            </w:r>
          </w:p>
        </w:tc>
        <w:tc>
          <w:tcPr>
            <w:tcW w:w="162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657" w:type="dxa"/>
            <w:tcBorders>
              <w:top w:val="nil"/>
              <w:left w:val="nil"/>
              <w:bottom w:val="single" w:sz="8" w:space="0" w:color="auto"/>
              <w:right w:val="single" w:sz="8" w:space="0" w:color="auto"/>
            </w:tcBorders>
            <w:shd w:val="clear" w:color="auto" w:fill="00B05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11</w:t>
            </w:r>
          </w:p>
        </w:tc>
        <w:tc>
          <w:tcPr>
            <w:tcW w:w="657" w:type="dxa"/>
            <w:tcBorders>
              <w:top w:val="nil"/>
              <w:left w:val="nil"/>
              <w:bottom w:val="single" w:sz="8" w:space="0" w:color="auto"/>
              <w:right w:val="single" w:sz="8" w:space="0" w:color="auto"/>
            </w:tcBorders>
            <w:shd w:val="clear" w:color="auto" w:fill="00B05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10</w:t>
            </w:r>
          </w:p>
        </w:tc>
        <w:tc>
          <w:tcPr>
            <w:tcW w:w="779" w:type="dxa"/>
            <w:tcBorders>
              <w:top w:val="nil"/>
              <w:left w:val="nil"/>
              <w:bottom w:val="single" w:sz="8" w:space="0" w:color="auto"/>
              <w:right w:val="single" w:sz="8" w:space="0" w:color="auto"/>
            </w:tcBorders>
            <w:shd w:val="clear" w:color="auto" w:fill="00B05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35</w:t>
            </w:r>
          </w:p>
        </w:tc>
        <w:tc>
          <w:tcPr>
            <w:tcW w:w="88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35</w:t>
            </w:r>
          </w:p>
        </w:tc>
        <w:tc>
          <w:tcPr>
            <w:tcW w:w="4536" w:type="dxa"/>
            <w:gridSpan w:val="2"/>
            <w:vMerge/>
            <w:tcBorders>
              <w:top w:val="nil"/>
              <w:left w:val="nil"/>
              <w:bottom w:val="single" w:sz="8" w:space="0" w:color="auto"/>
              <w:right w:val="single" w:sz="8" w:space="0" w:color="auto"/>
            </w:tcBorders>
            <w:vAlign w:val="center"/>
            <w:hideMark/>
          </w:tcPr>
          <w:p w:rsidR="00A76E9D" w:rsidRPr="007D7C9B" w:rsidRDefault="00A76E9D" w:rsidP="00007D43">
            <w:pPr>
              <w:rPr>
                <w:rFonts w:ascii="Arial" w:eastAsiaTheme="minorHAnsi" w:hAnsi="Arial" w:cs="Arial"/>
                <w:color w:val="000000"/>
              </w:rPr>
            </w:pPr>
          </w:p>
        </w:tc>
      </w:tr>
      <w:tr w:rsidR="00A76E9D" w:rsidRPr="007D7C9B" w:rsidTr="00007D43">
        <w:trPr>
          <w:gridAfter w:val="1"/>
          <w:wAfter w:w="6" w:type="dxa"/>
          <w:trHeight w:val="135"/>
        </w:trPr>
        <w:tc>
          <w:tcPr>
            <w:tcW w:w="257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color w:val="000000"/>
              </w:rPr>
            </w:pPr>
          </w:p>
        </w:tc>
        <w:tc>
          <w:tcPr>
            <w:tcW w:w="162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77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88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4536" w:type="dxa"/>
            <w:gridSpan w:val="2"/>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rPr>
                <w:rFonts w:ascii="Arial" w:hAnsi="Arial" w:cs="Arial"/>
              </w:rPr>
            </w:pPr>
          </w:p>
        </w:tc>
      </w:tr>
      <w:tr w:rsidR="00A76E9D" w:rsidRPr="007D7C9B" w:rsidTr="00007D43">
        <w:trPr>
          <w:gridAfter w:val="1"/>
          <w:wAfter w:w="6" w:type="dxa"/>
          <w:trHeight w:val="270"/>
        </w:trPr>
        <w:tc>
          <w:tcPr>
            <w:tcW w:w="257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eastAsiaTheme="minorHAnsi" w:hAnsi="Arial" w:cs="Arial"/>
                <w:color w:val="000000"/>
              </w:rPr>
            </w:pPr>
            <w:r w:rsidRPr="007D7C9B">
              <w:rPr>
                <w:rFonts w:ascii="Arial" w:hAnsi="Arial" w:cs="Arial"/>
                <w:color w:val="000000"/>
                <w:sz w:val="22"/>
                <w:szCs w:val="22"/>
              </w:rPr>
              <w:t>Global Credit</w:t>
            </w:r>
          </w:p>
        </w:tc>
        <w:tc>
          <w:tcPr>
            <w:tcW w:w="162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8</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8</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8</w:t>
            </w:r>
          </w:p>
        </w:tc>
        <w:tc>
          <w:tcPr>
            <w:tcW w:w="657" w:type="dxa"/>
            <w:tcBorders>
              <w:top w:val="nil"/>
              <w:left w:val="nil"/>
              <w:bottom w:val="single" w:sz="8" w:space="0" w:color="auto"/>
              <w:right w:val="single" w:sz="8" w:space="0" w:color="auto"/>
            </w:tcBorders>
            <w:shd w:val="clear" w:color="auto" w:fill="FFFF0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7</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7</w:t>
            </w:r>
          </w:p>
        </w:tc>
        <w:tc>
          <w:tcPr>
            <w:tcW w:w="657" w:type="dxa"/>
            <w:tcBorders>
              <w:top w:val="nil"/>
              <w:left w:val="nil"/>
              <w:bottom w:val="single" w:sz="8" w:space="0" w:color="auto"/>
              <w:right w:val="single" w:sz="8" w:space="0" w:color="auto"/>
            </w:tcBorders>
            <w:shd w:val="clear" w:color="auto" w:fill="FFFF0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5</w:t>
            </w:r>
          </w:p>
        </w:tc>
        <w:tc>
          <w:tcPr>
            <w:tcW w:w="77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88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4536" w:type="dxa"/>
            <w:gridSpan w:val="2"/>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rPr>
                <w:rFonts w:ascii="Arial" w:hAnsi="Arial" w:cs="Arial"/>
                <w:color w:val="000000"/>
              </w:rPr>
            </w:pPr>
            <w:r w:rsidRPr="007D7C9B">
              <w:rPr>
                <w:rFonts w:ascii="Arial" w:hAnsi="Arial" w:cs="Arial"/>
                <w:color w:val="000000"/>
                <w:sz w:val="22"/>
                <w:szCs w:val="22"/>
              </w:rPr>
              <w:t xml:space="preserve">Maintain allocation </w:t>
            </w:r>
            <w:r>
              <w:rPr>
                <w:rFonts w:ascii="Arial" w:hAnsi="Arial" w:cs="Arial"/>
                <w:color w:val="000000"/>
                <w:sz w:val="22"/>
                <w:szCs w:val="22"/>
              </w:rPr>
              <w:t>to</w:t>
            </w:r>
            <w:r w:rsidRPr="007D7C9B">
              <w:rPr>
                <w:rFonts w:ascii="Arial" w:hAnsi="Arial" w:cs="Arial"/>
                <w:color w:val="000000"/>
                <w:sz w:val="22"/>
                <w:szCs w:val="22"/>
              </w:rPr>
              <w:t xml:space="preserve"> 90% funded</w:t>
            </w:r>
            <w:r>
              <w:rPr>
                <w:rFonts w:ascii="Arial" w:hAnsi="Arial" w:cs="Arial"/>
                <w:color w:val="000000"/>
                <w:sz w:val="22"/>
                <w:szCs w:val="22"/>
              </w:rPr>
              <w:t xml:space="preserve">, </w:t>
            </w:r>
            <w:r w:rsidRPr="007D7C9B">
              <w:rPr>
                <w:rFonts w:ascii="Arial" w:hAnsi="Arial" w:cs="Arial"/>
                <w:color w:val="000000"/>
                <w:sz w:val="22"/>
                <w:szCs w:val="22"/>
              </w:rPr>
              <w:t>then reduce. Reduce to nil when reach 96%</w:t>
            </w:r>
          </w:p>
        </w:tc>
      </w:tr>
      <w:tr w:rsidR="00A76E9D" w:rsidRPr="007D7C9B" w:rsidTr="00007D43">
        <w:trPr>
          <w:gridAfter w:val="1"/>
          <w:wAfter w:w="6" w:type="dxa"/>
          <w:trHeight w:val="135"/>
        </w:trPr>
        <w:tc>
          <w:tcPr>
            <w:tcW w:w="257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color w:val="000000"/>
              </w:rPr>
            </w:pPr>
          </w:p>
        </w:tc>
        <w:tc>
          <w:tcPr>
            <w:tcW w:w="162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77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88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4536" w:type="dxa"/>
            <w:gridSpan w:val="2"/>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rPr>
                <w:rFonts w:ascii="Arial" w:hAnsi="Arial" w:cs="Arial"/>
              </w:rPr>
            </w:pPr>
          </w:p>
        </w:tc>
      </w:tr>
      <w:tr w:rsidR="00A76E9D" w:rsidRPr="007D7C9B" w:rsidTr="00007D43">
        <w:trPr>
          <w:gridAfter w:val="1"/>
          <w:wAfter w:w="6" w:type="dxa"/>
          <w:trHeight w:val="135"/>
        </w:trPr>
        <w:tc>
          <w:tcPr>
            <w:tcW w:w="257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eastAsiaTheme="minorHAnsi" w:hAnsi="Arial" w:cs="Arial"/>
                <w:b/>
                <w:bCs/>
                <w:color w:val="000000"/>
              </w:rPr>
            </w:pPr>
            <w:r>
              <w:rPr>
                <w:rFonts w:ascii="Arial" w:hAnsi="Arial" w:cs="Arial"/>
                <w:b/>
                <w:bCs/>
                <w:color w:val="000000"/>
                <w:sz w:val="22"/>
                <w:szCs w:val="22"/>
              </w:rPr>
              <w:t>I</w:t>
            </w:r>
            <w:r w:rsidRPr="007D7C9B">
              <w:rPr>
                <w:rFonts w:ascii="Arial" w:hAnsi="Arial" w:cs="Arial"/>
                <w:b/>
                <w:bCs/>
                <w:color w:val="000000"/>
                <w:sz w:val="22"/>
                <w:szCs w:val="22"/>
              </w:rPr>
              <w:t>lliquid</w:t>
            </w:r>
            <w:r>
              <w:rPr>
                <w:rFonts w:ascii="Arial" w:hAnsi="Arial" w:cs="Arial"/>
                <w:b/>
                <w:bCs/>
                <w:color w:val="000000"/>
                <w:sz w:val="22"/>
                <w:szCs w:val="22"/>
              </w:rPr>
              <w:t xml:space="preserve"> / DGF</w:t>
            </w:r>
          </w:p>
        </w:tc>
        <w:tc>
          <w:tcPr>
            <w:tcW w:w="162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77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88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4536" w:type="dxa"/>
            <w:gridSpan w:val="2"/>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rPr>
                <w:rFonts w:ascii="Arial" w:hAnsi="Arial" w:cs="Arial"/>
              </w:rPr>
            </w:pPr>
          </w:p>
        </w:tc>
      </w:tr>
      <w:tr w:rsidR="00A76E9D" w:rsidRPr="007D7C9B" w:rsidTr="00007D43">
        <w:trPr>
          <w:gridAfter w:val="1"/>
          <w:wAfter w:w="6" w:type="dxa"/>
          <w:trHeight w:val="135"/>
        </w:trPr>
        <w:tc>
          <w:tcPr>
            <w:tcW w:w="257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eastAsiaTheme="minorHAnsi" w:hAnsi="Arial" w:cs="Arial"/>
                <w:color w:val="000000"/>
              </w:rPr>
            </w:pPr>
            <w:r w:rsidRPr="007D7C9B">
              <w:rPr>
                <w:rFonts w:ascii="Arial" w:hAnsi="Arial" w:cs="Arial"/>
                <w:color w:val="000000"/>
                <w:sz w:val="22"/>
                <w:szCs w:val="22"/>
              </w:rPr>
              <w:t>Property</w:t>
            </w:r>
          </w:p>
        </w:tc>
        <w:tc>
          <w:tcPr>
            <w:tcW w:w="162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7</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7</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7</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7</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7</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7</w:t>
            </w:r>
          </w:p>
        </w:tc>
        <w:tc>
          <w:tcPr>
            <w:tcW w:w="77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7</w:t>
            </w:r>
          </w:p>
        </w:tc>
        <w:tc>
          <w:tcPr>
            <w:tcW w:w="88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7</w:t>
            </w:r>
          </w:p>
        </w:tc>
        <w:tc>
          <w:tcPr>
            <w:tcW w:w="4536" w:type="dxa"/>
            <w:gridSpan w:val="2"/>
            <w:vMerge w:val="restart"/>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rPr>
                <w:rFonts w:ascii="Arial" w:hAnsi="Arial" w:cs="Arial"/>
                <w:color w:val="000000"/>
              </w:rPr>
            </w:pPr>
          </w:p>
        </w:tc>
      </w:tr>
      <w:tr w:rsidR="00A76E9D" w:rsidRPr="007D7C9B" w:rsidTr="00007D43">
        <w:trPr>
          <w:gridAfter w:val="1"/>
          <w:wAfter w:w="6" w:type="dxa"/>
          <w:trHeight w:val="135"/>
        </w:trPr>
        <w:tc>
          <w:tcPr>
            <w:tcW w:w="257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color w:val="000000"/>
              </w:rPr>
            </w:pPr>
            <w:r w:rsidRPr="007D7C9B">
              <w:rPr>
                <w:rFonts w:ascii="Arial" w:hAnsi="Arial" w:cs="Arial"/>
                <w:color w:val="000000"/>
                <w:sz w:val="22"/>
                <w:szCs w:val="22"/>
              </w:rPr>
              <w:t>Diversified Alternatives</w:t>
            </w:r>
          </w:p>
        </w:tc>
        <w:tc>
          <w:tcPr>
            <w:tcW w:w="162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6</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6</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6</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6</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6</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6</w:t>
            </w:r>
          </w:p>
        </w:tc>
        <w:tc>
          <w:tcPr>
            <w:tcW w:w="77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6</w:t>
            </w:r>
          </w:p>
        </w:tc>
        <w:tc>
          <w:tcPr>
            <w:tcW w:w="88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6</w:t>
            </w:r>
          </w:p>
        </w:tc>
        <w:tc>
          <w:tcPr>
            <w:tcW w:w="4536" w:type="dxa"/>
            <w:gridSpan w:val="2"/>
            <w:vMerge/>
            <w:tcBorders>
              <w:top w:val="nil"/>
              <w:left w:val="nil"/>
              <w:bottom w:val="single" w:sz="8" w:space="0" w:color="auto"/>
              <w:right w:val="single" w:sz="8" w:space="0" w:color="auto"/>
            </w:tcBorders>
            <w:vAlign w:val="center"/>
            <w:hideMark/>
          </w:tcPr>
          <w:p w:rsidR="00A76E9D" w:rsidRPr="007D7C9B" w:rsidRDefault="00A76E9D" w:rsidP="00007D43">
            <w:pPr>
              <w:rPr>
                <w:rFonts w:ascii="Arial" w:eastAsiaTheme="minorHAnsi" w:hAnsi="Arial" w:cs="Arial"/>
                <w:color w:val="000000"/>
              </w:rPr>
            </w:pPr>
          </w:p>
        </w:tc>
      </w:tr>
      <w:tr w:rsidR="00A76E9D" w:rsidRPr="007D7C9B" w:rsidTr="00007D43">
        <w:trPr>
          <w:gridAfter w:val="1"/>
          <w:wAfter w:w="6" w:type="dxa"/>
          <w:trHeight w:val="135"/>
        </w:trPr>
        <w:tc>
          <w:tcPr>
            <w:tcW w:w="257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eastAsiaTheme="minorHAnsi" w:hAnsi="Arial" w:cs="Arial"/>
                <w:color w:val="000000"/>
              </w:rPr>
            </w:pPr>
            <w:r w:rsidRPr="007D7C9B">
              <w:rPr>
                <w:rFonts w:ascii="Arial" w:hAnsi="Arial" w:cs="Arial"/>
                <w:color w:val="000000"/>
                <w:sz w:val="22"/>
                <w:szCs w:val="22"/>
              </w:rPr>
              <w:t>Diversified Growth Funds</w:t>
            </w:r>
          </w:p>
        </w:tc>
        <w:tc>
          <w:tcPr>
            <w:tcW w:w="162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18</w:t>
            </w:r>
          </w:p>
        </w:tc>
        <w:tc>
          <w:tcPr>
            <w:tcW w:w="657" w:type="dxa"/>
            <w:tcBorders>
              <w:top w:val="nil"/>
              <w:left w:val="nil"/>
              <w:bottom w:val="single" w:sz="8" w:space="0" w:color="auto"/>
              <w:right w:val="single" w:sz="8" w:space="0" w:color="auto"/>
            </w:tcBorders>
            <w:shd w:val="clear" w:color="auto" w:fill="00B05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20</w:t>
            </w:r>
          </w:p>
        </w:tc>
        <w:tc>
          <w:tcPr>
            <w:tcW w:w="657" w:type="dxa"/>
            <w:tcBorders>
              <w:top w:val="nil"/>
              <w:left w:val="nil"/>
              <w:bottom w:val="single" w:sz="8" w:space="0" w:color="auto"/>
              <w:right w:val="single" w:sz="8" w:space="0" w:color="auto"/>
            </w:tcBorders>
            <w:shd w:val="clear" w:color="auto" w:fill="00B05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21</w:t>
            </w:r>
          </w:p>
        </w:tc>
        <w:tc>
          <w:tcPr>
            <w:tcW w:w="657" w:type="dxa"/>
            <w:tcBorders>
              <w:top w:val="nil"/>
              <w:left w:val="nil"/>
              <w:bottom w:val="single" w:sz="8" w:space="0" w:color="auto"/>
              <w:right w:val="single" w:sz="8" w:space="0" w:color="auto"/>
            </w:tcBorders>
            <w:shd w:val="clear" w:color="auto" w:fill="00B05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22</w:t>
            </w:r>
          </w:p>
        </w:tc>
        <w:tc>
          <w:tcPr>
            <w:tcW w:w="657" w:type="dxa"/>
            <w:tcBorders>
              <w:top w:val="nil"/>
              <w:left w:val="nil"/>
              <w:bottom w:val="single" w:sz="8" w:space="0" w:color="auto"/>
              <w:right w:val="single" w:sz="8" w:space="0" w:color="auto"/>
            </w:tcBorders>
            <w:shd w:val="clear" w:color="auto" w:fill="00B05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23</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23</w:t>
            </w:r>
          </w:p>
        </w:tc>
        <w:tc>
          <w:tcPr>
            <w:tcW w:w="779" w:type="dxa"/>
            <w:tcBorders>
              <w:top w:val="nil"/>
              <w:left w:val="nil"/>
              <w:bottom w:val="single" w:sz="8" w:space="0" w:color="auto"/>
              <w:right w:val="single" w:sz="8" w:space="0" w:color="auto"/>
            </w:tcBorders>
            <w:shd w:val="clear" w:color="auto" w:fill="FFFF0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20</w:t>
            </w:r>
          </w:p>
        </w:tc>
        <w:tc>
          <w:tcPr>
            <w:tcW w:w="88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20</w:t>
            </w:r>
          </w:p>
        </w:tc>
        <w:tc>
          <w:tcPr>
            <w:tcW w:w="4536" w:type="dxa"/>
            <w:gridSpan w:val="2"/>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rPr>
                <w:rFonts w:ascii="Arial" w:hAnsi="Arial" w:cs="Arial"/>
                <w:color w:val="000000"/>
              </w:rPr>
            </w:pPr>
            <w:r w:rsidRPr="007D7C9B">
              <w:rPr>
                <w:rFonts w:ascii="Arial" w:hAnsi="Arial" w:cs="Arial"/>
                <w:color w:val="000000"/>
                <w:sz w:val="22"/>
                <w:szCs w:val="22"/>
              </w:rPr>
              <w:t>Diversified growth funds provide protection but with a growth bias.</w:t>
            </w:r>
          </w:p>
        </w:tc>
      </w:tr>
      <w:tr w:rsidR="00A76E9D" w:rsidRPr="007D7C9B" w:rsidTr="00007D43">
        <w:trPr>
          <w:gridAfter w:val="1"/>
          <w:wAfter w:w="6" w:type="dxa"/>
          <w:trHeight w:val="135"/>
        </w:trPr>
        <w:tc>
          <w:tcPr>
            <w:tcW w:w="257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color w:val="000000"/>
              </w:rPr>
            </w:pPr>
          </w:p>
        </w:tc>
        <w:tc>
          <w:tcPr>
            <w:tcW w:w="162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77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88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4536" w:type="dxa"/>
            <w:gridSpan w:val="2"/>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rPr>
                <w:rFonts w:ascii="Arial" w:hAnsi="Arial" w:cs="Arial"/>
              </w:rPr>
            </w:pPr>
          </w:p>
        </w:tc>
      </w:tr>
      <w:tr w:rsidR="00A76E9D" w:rsidRPr="007D7C9B" w:rsidTr="00007D43">
        <w:trPr>
          <w:gridAfter w:val="1"/>
          <w:wAfter w:w="6" w:type="dxa"/>
          <w:trHeight w:val="135"/>
        </w:trPr>
        <w:tc>
          <w:tcPr>
            <w:tcW w:w="257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eastAsiaTheme="minorHAnsi" w:hAnsi="Arial" w:cs="Arial"/>
                <w:b/>
                <w:bCs/>
                <w:color w:val="000000"/>
              </w:rPr>
            </w:pPr>
            <w:r>
              <w:rPr>
                <w:rFonts w:ascii="Arial" w:hAnsi="Arial" w:cs="Arial"/>
                <w:b/>
                <w:bCs/>
                <w:color w:val="000000"/>
                <w:sz w:val="22"/>
                <w:szCs w:val="22"/>
              </w:rPr>
              <w:t>N</w:t>
            </w:r>
            <w:r w:rsidRPr="007D7C9B">
              <w:rPr>
                <w:rFonts w:ascii="Arial" w:hAnsi="Arial" w:cs="Arial"/>
                <w:b/>
                <w:bCs/>
                <w:color w:val="000000"/>
                <w:sz w:val="22"/>
                <w:szCs w:val="22"/>
              </w:rPr>
              <w:t>o inflation link</w:t>
            </w:r>
          </w:p>
        </w:tc>
        <w:tc>
          <w:tcPr>
            <w:tcW w:w="162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77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88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4536" w:type="dxa"/>
            <w:gridSpan w:val="2"/>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rPr>
                <w:rFonts w:ascii="Arial" w:hAnsi="Arial" w:cs="Arial"/>
              </w:rPr>
            </w:pPr>
          </w:p>
        </w:tc>
      </w:tr>
      <w:tr w:rsidR="00A76E9D" w:rsidRPr="007D7C9B" w:rsidTr="00007D43">
        <w:trPr>
          <w:gridAfter w:val="1"/>
          <w:wAfter w:w="6" w:type="dxa"/>
          <w:trHeight w:val="270"/>
        </w:trPr>
        <w:tc>
          <w:tcPr>
            <w:tcW w:w="257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eastAsiaTheme="minorHAnsi" w:hAnsi="Arial" w:cs="Arial"/>
                <w:color w:val="000000"/>
              </w:rPr>
            </w:pPr>
            <w:r w:rsidRPr="007D7C9B">
              <w:rPr>
                <w:rFonts w:ascii="Arial" w:hAnsi="Arial" w:cs="Arial"/>
                <w:color w:val="000000"/>
                <w:sz w:val="22"/>
                <w:szCs w:val="22"/>
              </w:rPr>
              <w:t>UK Credit</w:t>
            </w:r>
          </w:p>
        </w:tc>
        <w:tc>
          <w:tcPr>
            <w:tcW w:w="162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4</w:t>
            </w:r>
          </w:p>
        </w:tc>
        <w:tc>
          <w:tcPr>
            <w:tcW w:w="657" w:type="dxa"/>
            <w:tcBorders>
              <w:top w:val="nil"/>
              <w:left w:val="nil"/>
              <w:bottom w:val="single" w:sz="8" w:space="0" w:color="auto"/>
              <w:right w:val="single" w:sz="8" w:space="0" w:color="auto"/>
            </w:tcBorders>
            <w:shd w:val="clear" w:color="auto" w:fill="FFFF0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2</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77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88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4536" w:type="dxa"/>
            <w:gridSpan w:val="2"/>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rPr>
                <w:rFonts w:ascii="Arial" w:hAnsi="Arial" w:cs="Arial"/>
                <w:color w:val="000000"/>
              </w:rPr>
            </w:pPr>
            <w:r>
              <w:rPr>
                <w:rFonts w:ascii="Arial" w:hAnsi="Arial" w:cs="Arial"/>
                <w:color w:val="000000"/>
                <w:sz w:val="22"/>
                <w:szCs w:val="22"/>
              </w:rPr>
              <w:t>U</w:t>
            </w:r>
            <w:r w:rsidRPr="007D7C9B">
              <w:rPr>
                <w:rFonts w:ascii="Arial" w:hAnsi="Arial" w:cs="Arial"/>
                <w:color w:val="000000"/>
                <w:sz w:val="22"/>
                <w:szCs w:val="22"/>
              </w:rPr>
              <w:t>sed to fund the initial move to IL Bonds</w:t>
            </w:r>
          </w:p>
        </w:tc>
      </w:tr>
      <w:tr w:rsidR="00A76E9D" w:rsidRPr="007D7C9B" w:rsidTr="00007D43">
        <w:trPr>
          <w:gridAfter w:val="1"/>
          <w:wAfter w:w="6" w:type="dxa"/>
          <w:trHeight w:val="135"/>
        </w:trPr>
        <w:tc>
          <w:tcPr>
            <w:tcW w:w="257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color w:val="000000"/>
              </w:rPr>
            </w:pPr>
          </w:p>
        </w:tc>
        <w:tc>
          <w:tcPr>
            <w:tcW w:w="162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77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88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4536" w:type="dxa"/>
            <w:gridSpan w:val="2"/>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rPr>
                <w:rFonts w:ascii="Arial" w:hAnsi="Arial" w:cs="Arial"/>
              </w:rPr>
            </w:pPr>
          </w:p>
        </w:tc>
      </w:tr>
      <w:tr w:rsidR="00A76E9D" w:rsidRPr="007D7C9B" w:rsidTr="00007D43">
        <w:trPr>
          <w:gridAfter w:val="1"/>
          <w:wAfter w:w="6" w:type="dxa"/>
          <w:trHeight w:val="135"/>
        </w:trPr>
        <w:tc>
          <w:tcPr>
            <w:tcW w:w="257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eastAsiaTheme="minorHAnsi" w:hAnsi="Arial" w:cs="Arial"/>
                <w:b/>
                <w:bCs/>
                <w:color w:val="000000"/>
              </w:rPr>
            </w:pPr>
            <w:r w:rsidRPr="007D7C9B">
              <w:rPr>
                <w:rFonts w:ascii="Arial" w:hAnsi="Arial" w:cs="Arial"/>
                <w:b/>
                <w:bCs/>
                <w:color w:val="000000"/>
                <w:sz w:val="22"/>
                <w:szCs w:val="22"/>
              </w:rPr>
              <w:t>Matching Assets</w:t>
            </w:r>
          </w:p>
        </w:tc>
        <w:tc>
          <w:tcPr>
            <w:tcW w:w="162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77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88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rPr>
            </w:pPr>
          </w:p>
        </w:tc>
        <w:tc>
          <w:tcPr>
            <w:tcW w:w="4536" w:type="dxa"/>
            <w:gridSpan w:val="2"/>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rPr>
                <w:rFonts w:ascii="Arial" w:hAnsi="Arial" w:cs="Arial"/>
              </w:rPr>
            </w:pPr>
          </w:p>
        </w:tc>
      </w:tr>
      <w:tr w:rsidR="00A76E9D" w:rsidRPr="007D7C9B" w:rsidTr="00007D43">
        <w:trPr>
          <w:gridAfter w:val="1"/>
          <w:wAfter w:w="6" w:type="dxa"/>
          <w:trHeight w:val="135"/>
        </w:trPr>
        <w:tc>
          <w:tcPr>
            <w:tcW w:w="257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eastAsiaTheme="minorHAnsi" w:hAnsi="Arial" w:cs="Arial"/>
                <w:color w:val="000000"/>
              </w:rPr>
            </w:pPr>
            <w:r w:rsidRPr="007D7C9B">
              <w:rPr>
                <w:rFonts w:ascii="Arial" w:hAnsi="Arial" w:cs="Arial"/>
                <w:color w:val="000000"/>
                <w:sz w:val="22"/>
                <w:szCs w:val="22"/>
              </w:rPr>
              <w:t>Index-Linked Gilts</w:t>
            </w:r>
          </w:p>
        </w:tc>
        <w:tc>
          <w:tcPr>
            <w:tcW w:w="162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657" w:type="dxa"/>
            <w:tcBorders>
              <w:top w:val="nil"/>
              <w:left w:val="nil"/>
              <w:bottom w:val="single" w:sz="8" w:space="0" w:color="auto"/>
              <w:right w:val="single" w:sz="8" w:space="0" w:color="auto"/>
            </w:tcBorders>
            <w:shd w:val="clear" w:color="auto" w:fill="00B05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2</w:t>
            </w:r>
          </w:p>
        </w:tc>
        <w:tc>
          <w:tcPr>
            <w:tcW w:w="657" w:type="dxa"/>
            <w:tcBorders>
              <w:top w:val="nil"/>
              <w:left w:val="nil"/>
              <w:bottom w:val="single" w:sz="8" w:space="0" w:color="auto"/>
              <w:right w:val="single" w:sz="8" w:space="0" w:color="auto"/>
            </w:tcBorders>
            <w:shd w:val="clear" w:color="auto" w:fill="00B05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4</w:t>
            </w:r>
          </w:p>
        </w:tc>
        <w:tc>
          <w:tcPr>
            <w:tcW w:w="657" w:type="dxa"/>
            <w:tcBorders>
              <w:top w:val="nil"/>
              <w:left w:val="nil"/>
              <w:bottom w:val="single" w:sz="8" w:space="0" w:color="auto"/>
              <w:right w:val="single" w:sz="8" w:space="0" w:color="auto"/>
            </w:tcBorders>
            <w:shd w:val="clear" w:color="auto" w:fill="00B05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6</w:t>
            </w:r>
          </w:p>
        </w:tc>
        <w:tc>
          <w:tcPr>
            <w:tcW w:w="657" w:type="dxa"/>
            <w:tcBorders>
              <w:top w:val="nil"/>
              <w:left w:val="nil"/>
              <w:bottom w:val="single" w:sz="8" w:space="0" w:color="auto"/>
              <w:right w:val="single" w:sz="8" w:space="0" w:color="auto"/>
            </w:tcBorders>
            <w:shd w:val="clear" w:color="auto" w:fill="00B05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7</w:t>
            </w:r>
          </w:p>
        </w:tc>
        <w:tc>
          <w:tcPr>
            <w:tcW w:w="657" w:type="dxa"/>
            <w:tcBorders>
              <w:top w:val="nil"/>
              <w:left w:val="nil"/>
              <w:bottom w:val="single" w:sz="8" w:space="0" w:color="auto"/>
              <w:right w:val="single" w:sz="8" w:space="0" w:color="auto"/>
            </w:tcBorders>
            <w:shd w:val="clear" w:color="auto" w:fill="00B05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15</w:t>
            </w:r>
          </w:p>
        </w:tc>
        <w:tc>
          <w:tcPr>
            <w:tcW w:w="779" w:type="dxa"/>
            <w:tcBorders>
              <w:top w:val="nil"/>
              <w:left w:val="nil"/>
              <w:bottom w:val="single" w:sz="8" w:space="0" w:color="auto"/>
              <w:right w:val="single" w:sz="8" w:space="0" w:color="auto"/>
            </w:tcBorders>
            <w:shd w:val="clear" w:color="auto" w:fill="00B050"/>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23</w:t>
            </w:r>
          </w:p>
        </w:tc>
        <w:tc>
          <w:tcPr>
            <w:tcW w:w="88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23</w:t>
            </w:r>
          </w:p>
        </w:tc>
        <w:tc>
          <w:tcPr>
            <w:tcW w:w="4536" w:type="dxa"/>
            <w:gridSpan w:val="2"/>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rPr>
                <w:rFonts w:ascii="Arial" w:hAnsi="Arial" w:cs="Arial"/>
                <w:color w:val="000000"/>
              </w:rPr>
            </w:pPr>
          </w:p>
        </w:tc>
      </w:tr>
      <w:tr w:rsidR="00A76E9D" w:rsidRPr="007D7C9B" w:rsidTr="00007D43">
        <w:trPr>
          <w:gridAfter w:val="1"/>
          <w:wAfter w:w="6" w:type="dxa"/>
          <w:trHeight w:val="135"/>
        </w:trPr>
        <w:tc>
          <w:tcPr>
            <w:tcW w:w="257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eastAsiaTheme="minorHAnsi" w:hAnsi="Arial" w:cs="Arial"/>
                <w:color w:val="000000"/>
              </w:rPr>
            </w:pPr>
            <w:r w:rsidRPr="007D7C9B">
              <w:rPr>
                <w:rFonts w:ascii="Arial" w:hAnsi="Arial" w:cs="Arial"/>
                <w:color w:val="000000"/>
                <w:sz w:val="22"/>
                <w:szCs w:val="22"/>
              </w:rPr>
              <w:t>Infrastructure</w:t>
            </w:r>
          </w:p>
        </w:tc>
        <w:tc>
          <w:tcPr>
            <w:tcW w:w="162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9</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9</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9</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9</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9</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9</w:t>
            </w:r>
          </w:p>
        </w:tc>
        <w:tc>
          <w:tcPr>
            <w:tcW w:w="77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9</w:t>
            </w:r>
          </w:p>
        </w:tc>
        <w:tc>
          <w:tcPr>
            <w:tcW w:w="88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9</w:t>
            </w:r>
          </w:p>
        </w:tc>
        <w:tc>
          <w:tcPr>
            <w:tcW w:w="4536" w:type="dxa"/>
            <w:gridSpan w:val="2"/>
            <w:vMerge w:val="restart"/>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rPr>
                <w:rFonts w:ascii="Arial" w:hAnsi="Arial" w:cs="Arial"/>
                <w:color w:val="000000"/>
              </w:rPr>
            </w:pPr>
          </w:p>
        </w:tc>
      </w:tr>
      <w:tr w:rsidR="00A76E9D" w:rsidRPr="007D7C9B" w:rsidTr="00007D43">
        <w:trPr>
          <w:gridAfter w:val="1"/>
          <w:wAfter w:w="6" w:type="dxa"/>
          <w:trHeight w:val="135"/>
        </w:trPr>
        <w:tc>
          <w:tcPr>
            <w:tcW w:w="257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color w:val="000000"/>
              </w:rPr>
            </w:pPr>
            <w:r w:rsidRPr="007D7C9B">
              <w:rPr>
                <w:rFonts w:ascii="Arial" w:hAnsi="Arial" w:cs="Arial"/>
                <w:color w:val="000000"/>
                <w:sz w:val="22"/>
                <w:szCs w:val="22"/>
              </w:rPr>
              <w:t>Inflation Linked Assets</w:t>
            </w:r>
          </w:p>
        </w:tc>
        <w:tc>
          <w:tcPr>
            <w:tcW w:w="162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77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88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0</w:t>
            </w:r>
          </w:p>
        </w:tc>
        <w:tc>
          <w:tcPr>
            <w:tcW w:w="4536" w:type="dxa"/>
            <w:gridSpan w:val="2"/>
            <w:vMerge/>
            <w:tcBorders>
              <w:top w:val="nil"/>
              <w:left w:val="nil"/>
              <w:bottom w:val="single" w:sz="8" w:space="0" w:color="auto"/>
              <w:right w:val="single" w:sz="8" w:space="0" w:color="auto"/>
            </w:tcBorders>
            <w:vAlign w:val="center"/>
            <w:hideMark/>
          </w:tcPr>
          <w:p w:rsidR="00A76E9D" w:rsidRPr="007D7C9B" w:rsidRDefault="00A76E9D" w:rsidP="00007D43">
            <w:pPr>
              <w:rPr>
                <w:rFonts w:ascii="Arial" w:eastAsiaTheme="minorHAnsi" w:hAnsi="Arial" w:cs="Arial"/>
                <w:color w:val="000000"/>
              </w:rPr>
            </w:pPr>
          </w:p>
        </w:tc>
      </w:tr>
      <w:tr w:rsidR="00A76E9D" w:rsidRPr="007D7C9B" w:rsidTr="00007D43">
        <w:trPr>
          <w:gridAfter w:val="1"/>
          <w:wAfter w:w="6" w:type="dxa"/>
          <w:trHeight w:val="135"/>
        </w:trPr>
        <w:tc>
          <w:tcPr>
            <w:tcW w:w="257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rPr>
                <w:rFonts w:ascii="Arial" w:hAnsi="Arial" w:cs="Arial"/>
                <w:color w:val="000000"/>
              </w:rPr>
            </w:pPr>
            <w:r w:rsidRPr="007D7C9B">
              <w:rPr>
                <w:rFonts w:ascii="Arial" w:hAnsi="Arial" w:cs="Arial"/>
                <w:color w:val="000000"/>
                <w:sz w:val="22"/>
                <w:szCs w:val="22"/>
              </w:rPr>
              <w:t>Total</w:t>
            </w:r>
          </w:p>
        </w:tc>
        <w:tc>
          <w:tcPr>
            <w:tcW w:w="162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100</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100</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100</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100</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100</w:t>
            </w:r>
          </w:p>
        </w:tc>
        <w:tc>
          <w:tcPr>
            <w:tcW w:w="657"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100</w:t>
            </w:r>
          </w:p>
        </w:tc>
        <w:tc>
          <w:tcPr>
            <w:tcW w:w="77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100</w:t>
            </w:r>
          </w:p>
        </w:tc>
        <w:tc>
          <w:tcPr>
            <w:tcW w:w="88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rsidR="00A76E9D" w:rsidRPr="007D7C9B" w:rsidRDefault="00A76E9D" w:rsidP="00007D43">
            <w:pPr>
              <w:jc w:val="right"/>
              <w:rPr>
                <w:rFonts w:ascii="Arial" w:hAnsi="Arial" w:cs="Arial"/>
                <w:color w:val="000000"/>
              </w:rPr>
            </w:pPr>
            <w:r w:rsidRPr="007D7C9B">
              <w:rPr>
                <w:rFonts w:ascii="Arial" w:hAnsi="Arial" w:cs="Arial"/>
                <w:color w:val="000000"/>
                <w:sz w:val="22"/>
                <w:szCs w:val="22"/>
              </w:rPr>
              <w:t>100</w:t>
            </w:r>
          </w:p>
        </w:tc>
        <w:tc>
          <w:tcPr>
            <w:tcW w:w="4536" w:type="dxa"/>
            <w:gridSpan w:val="2"/>
            <w:tcBorders>
              <w:top w:val="nil"/>
              <w:left w:val="nil"/>
              <w:bottom w:val="single" w:sz="8" w:space="0" w:color="auto"/>
              <w:right w:val="single" w:sz="8" w:space="0" w:color="auto"/>
            </w:tcBorders>
            <w:tcMar>
              <w:top w:w="15" w:type="dxa"/>
              <w:left w:w="108" w:type="dxa"/>
              <w:bottom w:w="15" w:type="dxa"/>
              <w:right w:w="108" w:type="dxa"/>
            </w:tcMar>
            <w:vAlign w:val="bottom"/>
            <w:hideMark/>
          </w:tcPr>
          <w:p w:rsidR="00A76E9D" w:rsidRPr="007D7C9B" w:rsidRDefault="00A76E9D" w:rsidP="00007D43">
            <w:pPr>
              <w:rPr>
                <w:rFonts w:ascii="Arial" w:hAnsi="Arial" w:cs="Arial"/>
                <w:color w:val="000000"/>
              </w:rPr>
            </w:pPr>
          </w:p>
        </w:tc>
      </w:tr>
    </w:tbl>
    <w:p w:rsidR="00A76E9D" w:rsidRDefault="00A76E9D" w:rsidP="00A76E9D">
      <w:pPr>
        <w:spacing w:after="200" w:line="276" w:lineRule="auto"/>
        <w:rPr>
          <w:rFonts w:ascii="Arial" w:hAnsi="Arial" w:cs="Arial"/>
          <w:b/>
          <w:kern w:val="28"/>
          <w:lang w:eastAsia="en-US"/>
        </w:rPr>
      </w:pPr>
      <w:r>
        <w:rPr>
          <w:rFonts w:cs="Arial"/>
          <w:b/>
        </w:rPr>
        <w:br w:type="page"/>
      </w:r>
    </w:p>
    <w:p w:rsidR="00A76E9D" w:rsidRDefault="00A76E9D" w:rsidP="00A76E9D">
      <w:pPr>
        <w:pStyle w:val="Appendix1"/>
        <w:rPr>
          <w:rFonts w:cs="Arial"/>
          <w:b/>
          <w:color w:val="auto"/>
          <w:sz w:val="24"/>
          <w:szCs w:val="24"/>
        </w:rPr>
        <w:sectPr w:rsidR="00A76E9D" w:rsidSect="006D2AFD">
          <w:pgSz w:w="16838" w:h="11906" w:orient="landscape"/>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76E9D" w:rsidRPr="00DF6F04" w:rsidRDefault="00A76E9D" w:rsidP="00A76E9D">
      <w:pPr>
        <w:pStyle w:val="Appendix1"/>
        <w:rPr>
          <w:rFonts w:cs="Arial"/>
          <w:b/>
          <w:color w:val="auto"/>
          <w:sz w:val="24"/>
          <w:szCs w:val="24"/>
        </w:rPr>
      </w:pPr>
      <w:r w:rsidRPr="00DF6F04">
        <w:rPr>
          <w:rFonts w:cs="Arial"/>
          <w:b/>
          <w:color w:val="auto"/>
          <w:sz w:val="24"/>
          <w:szCs w:val="24"/>
        </w:rPr>
        <w:lastRenderedPageBreak/>
        <w:t xml:space="preserve">Appendix </w:t>
      </w:r>
      <w:r>
        <w:rPr>
          <w:rFonts w:cs="Arial"/>
          <w:b/>
          <w:color w:val="auto"/>
          <w:sz w:val="24"/>
          <w:szCs w:val="24"/>
        </w:rPr>
        <w:t>D</w:t>
      </w:r>
      <w:r w:rsidRPr="00DF6F04">
        <w:rPr>
          <w:rFonts w:cs="Arial"/>
          <w:b/>
          <w:color w:val="auto"/>
          <w:sz w:val="24"/>
          <w:szCs w:val="24"/>
        </w:rPr>
        <w:t>:  Statement of Compliance with UK Stewardship Code</w:t>
      </w:r>
    </w:p>
    <w:tbl>
      <w:tblPr>
        <w:tblStyle w:val="TableGrid"/>
        <w:tblW w:w="10080"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556"/>
        <w:gridCol w:w="7509"/>
        <w:gridCol w:w="15"/>
      </w:tblGrid>
      <w:tr w:rsidR="00A76E9D" w:rsidRPr="00DF6F04" w:rsidTr="00007D43">
        <w:trPr>
          <w:gridAfter w:val="1"/>
          <w:wAfter w:w="15" w:type="dxa"/>
          <w:trHeight w:val="2787"/>
        </w:trPr>
        <w:tc>
          <w:tcPr>
            <w:tcW w:w="2553" w:type="dxa"/>
          </w:tcPr>
          <w:p w:rsidR="00A76E9D" w:rsidRPr="00DF6F04" w:rsidRDefault="00A76E9D" w:rsidP="00007D43">
            <w:pPr>
              <w:autoSpaceDE w:val="0"/>
              <w:autoSpaceDN w:val="0"/>
              <w:adjustRightInd w:val="0"/>
              <w:rPr>
                <w:rFonts w:ascii="Arial" w:hAnsi="Arial" w:cs="Arial"/>
                <w:b/>
                <w:i/>
              </w:rPr>
            </w:pPr>
            <w:r w:rsidRPr="00DF6F04">
              <w:rPr>
                <w:rFonts w:ascii="Arial" w:hAnsi="Arial" w:cs="Arial"/>
                <w:b/>
                <w:i/>
              </w:rPr>
              <w:t>Principle 1</w:t>
            </w:r>
          </w:p>
          <w:p w:rsidR="00A76E9D" w:rsidRPr="00DF6F04" w:rsidRDefault="00A76E9D" w:rsidP="00007D43">
            <w:pPr>
              <w:autoSpaceDE w:val="0"/>
              <w:autoSpaceDN w:val="0"/>
              <w:adjustRightInd w:val="0"/>
              <w:rPr>
                <w:rFonts w:ascii="Arial" w:hAnsi="Arial" w:cs="Arial"/>
                <w:i/>
              </w:rPr>
            </w:pPr>
            <w:r w:rsidRPr="00DF6F04">
              <w:rPr>
                <w:rFonts w:ascii="Arial" w:hAnsi="Arial" w:cs="Arial"/>
                <w:i/>
              </w:rPr>
              <w:t>Institutional investors should publicly disclose their policy on how they will discharge their stewardship responsibilities.</w:t>
            </w:r>
          </w:p>
          <w:p w:rsidR="00A76E9D" w:rsidRPr="00DF6F04" w:rsidRDefault="00A76E9D" w:rsidP="00007D43">
            <w:pPr>
              <w:autoSpaceDE w:val="0"/>
              <w:autoSpaceDN w:val="0"/>
              <w:adjustRightInd w:val="0"/>
              <w:spacing w:before="60" w:after="60"/>
              <w:rPr>
                <w:rFonts w:ascii="Arial" w:hAnsi="Arial" w:cs="Arial"/>
                <w:i/>
              </w:rPr>
            </w:pPr>
          </w:p>
        </w:tc>
        <w:tc>
          <w:tcPr>
            <w:tcW w:w="7512" w:type="dxa"/>
          </w:tcPr>
          <w:p w:rsidR="00A76E9D" w:rsidRPr="00DF6F04" w:rsidRDefault="00A76E9D" w:rsidP="00007D43">
            <w:pPr>
              <w:autoSpaceDE w:val="0"/>
              <w:autoSpaceDN w:val="0"/>
              <w:adjustRightInd w:val="0"/>
              <w:spacing w:before="60" w:after="60"/>
              <w:jc w:val="both"/>
              <w:rPr>
                <w:rFonts w:ascii="Arial" w:hAnsi="Arial" w:cs="Arial"/>
                <w:i/>
              </w:rPr>
            </w:pPr>
            <w:r w:rsidRPr="00DF6F04">
              <w:rPr>
                <w:rFonts w:ascii="Arial" w:hAnsi="Arial" w:cs="Arial"/>
                <w:i/>
              </w:rPr>
              <w:t>Stewardship is seen as part of the responsibilities of share ownership, and is therefore an integral part of the Fund’s investment strategy.</w:t>
            </w:r>
          </w:p>
          <w:p w:rsidR="00A76E9D" w:rsidRPr="00DF6F04" w:rsidRDefault="00A76E9D" w:rsidP="00007D43">
            <w:pPr>
              <w:pStyle w:val="NumberedParagraph"/>
              <w:tabs>
                <w:tab w:val="clear" w:pos="720"/>
              </w:tabs>
              <w:jc w:val="both"/>
              <w:rPr>
                <w:i/>
                <w:lang w:eastAsia="en-GB"/>
              </w:rPr>
            </w:pPr>
          </w:p>
          <w:p w:rsidR="00A76E9D" w:rsidRPr="00DF6F04" w:rsidRDefault="00A76E9D" w:rsidP="00007D43">
            <w:pPr>
              <w:pStyle w:val="NumberedParagraph"/>
              <w:jc w:val="both"/>
              <w:rPr>
                <w:i/>
                <w:lang w:eastAsia="en-GB"/>
              </w:rPr>
            </w:pPr>
            <w:r w:rsidRPr="00DF6F04">
              <w:rPr>
                <w:i/>
                <w:lang w:eastAsia="en-GB"/>
              </w:rPr>
              <w:t>The Pension Panel actively monitor the fund manager</w:t>
            </w:r>
            <w:r>
              <w:rPr>
                <w:i/>
                <w:lang w:eastAsia="en-GB"/>
              </w:rPr>
              <w:t>s</w:t>
            </w:r>
            <w:r w:rsidRPr="00DF6F04">
              <w:rPr>
                <w:i/>
                <w:lang w:eastAsia="en-GB"/>
              </w:rPr>
              <w:t xml:space="preserve"> through quarterly performance analysis, annual and periodic meetings with the </w:t>
            </w:r>
            <w:r>
              <w:rPr>
                <w:i/>
                <w:lang w:eastAsia="en-GB"/>
              </w:rPr>
              <w:t xml:space="preserve">individual </w:t>
            </w:r>
            <w:r w:rsidRPr="00DF6F04">
              <w:rPr>
                <w:i/>
                <w:lang w:eastAsia="en-GB"/>
              </w:rPr>
              <w:t>fund manager</w:t>
            </w:r>
            <w:r>
              <w:rPr>
                <w:i/>
                <w:lang w:eastAsia="en-GB"/>
              </w:rPr>
              <w:t>s</w:t>
            </w:r>
            <w:r w:rsidRPr="00DF6F04">
              <w:rPr>
                <w:i/>
                <w:lang w:eastAsia="en-GB"/>
              </w:rPr>
              <w:t xml:space="preserve"> and through direct monitoring by the officers, which includes monitoring and reporting on:</w:t>
            </w:r>
          </w:p>
          <w:p w:rsidR="00A76E9D" w:rsidRPr="00DF6F04" w:rsidRDefault="00A76E9D" w:rsidP="00007D43">
            <w:pPr>
              <w:pStyle w:val="NumberedParagraph"/>
              <w:tabs>
                <w:tab w:val="clear" w:pos="720"/>
              </w:tabs>
              <w:ind w:left="720"/>
              <w:jc w:val="both"/>
              <w:rPr>
                <w:i/>
                <w:lang w:eastAsia="en-GB"/>
              </w:rPr>
            </w:pPr>
          </w:p>
          <w:p w:rsidR="00A76E9D" w:rsidRPr="00DF6F04" w:rsidRDefault="00A76E9D" w:rsidP="00A76E9D">
            <w:pPr>
              <w:pStyle w:val="NumberedParagraph"/>
              <w:numPr>
                <w:ilvl w:val="0"/>
                <w:numId w:val="15"/>
              </w:numPr>
              <w:jc w:val="both"/>
              <w:rPr>
                <w:i/>
                <w:lang w:eastAsia="en-GB"/>
              </w:rPr>
            </w:pPr>
            <w:r w:rsidRPr="00DF6F04">
              <w:rPr>
                <w:i/>
                <w:lang w:eastAsia="en-GB"/>
              </w:rPr>
              <w:t>Fund manager performance;</w:t>
            </w:r>
          </w:p>
          <w:p w:rsidR="00A76E9D" w:rsidRPr="00DF6F04" w:rsidRDefault="00A76E9D" w:rsidP="00A76E9D">
            <w:pPr>
              <w:pStyle w:val="NumberedParagraph"/>
              <w:numPr>
                <w:ilvl w:val="0"/>
                <w:numId w:val="15"/>
              </w:numPr>
              <w:jc w:val="both"/>
              <w:rPr>
                <w:i/>
                <w:lang w:eastAsia="en-GB"/>
              </w:rPr>
            </w:pPr>
            <w:r w:rsidRPr="00DF6F04">
              <w:rPr>
                <w:i/>
                <w:lang w:eastAsia="en-GB"/>
              </w:rPr>
              <w:t>Investment Process compliance and changes;</w:t>
            </w:r>
          </w:p>
          <w:p w:rsidR="00A76E9D" w:rsidRPr="00DF6F04" w:rsidRDefault="00A76E9D" w:rsidP="00A76E9D">
            <w:pPr>
              <w:pStyle w:val="NumberedParagraph"/>
              <w:numPr>
                <w:ilvl w:val="0"/>
                <w:numId w:val="15"/>
              </w:numPr>
              <w:jc w:val="both"/>
              <w:rPr>
                <w:i/>
                <w:lang w:eastAsia="en-GB"/>
              </w:rPr>
            </w:pPr>
            <w:r w:rsidRPr="00DF6F04">
              <w:rPr>
                <w:i/>
                <w:lang w:eastAsia="en-GB"/>
              </w:rPr>
              <w:t>Changes in personnel (joiners and leavers);</w:t>
            </w:r>
          </w:p>
          <w:p w:rsidR="00A76E9D" w:rsidRPr="00DF6F04" w:rsidRDefault="00A76E9D" w:rsidP="00A76E9D">
            <w:pPr>
              <w:pStyle w:val="NumberedParagraph"/>
              <w:numPr>
                <w:ilvl w:val="0"/>
                <w:numId w:val="15"/>
              </w:numPr>
              <w:jc w:val="both"/>
              <w:rPr>
                <w:i/>
                <w:lang w:eastAsia="en-GB"/>
              </w:rPr>
            </w:pPr>
            <w:r w:rsidRPr="00DF6F04">
              <w:rPr>
                <w:i/>
                <w:lang w:eastAsia="en-GB"/>
              </w:rPr>
              <w:t>Significant portfolio developments;</w:t>
            </w:r>
          </w:p>
          <w:p w:rsidR="00A76E9D" w:rsidRPr="00DF6F04" w:rsidRDefault="00A76E9D" w:rsidP="00A76E9D">
            <w:pPr>
              <w:pStyle w:val="NumberedParagraph"/>
              <w:numPr>
                <w:ilvl w:val="0"/>
                <w:numId w:val="15"/>
              </w:numPr>
              <w:jc w:val="both"/>
              <w:rPr>
                <w:i/>
                <w:lang w:eastAsia="en-GB"/>
              </w:rPr>
            </w:pPr>
            <w:r w:rsidRPr="00DF6F04">
              <w:rPr>
                <w:i/>
                <w:lang w:eastAsia="en-GB"/>
              </w:rPr>
              <w:t>Breaches of the IMA / Restrictions;</w:t>
            </w:r>
          </w:p>
          <w:p w:rsidR="00A76E9D" w:rsidRPr="00DF6F04" w:rsidRDefault="00A76E9D" w:rsidP="00A76E9D">
            <w:pPr>
              <w:pStyle w:val="NumberedParagraph"/>
              <w:numPr>
                <w:ilvl w:val="0"/>
                <w:numId w:val="15"/>
              </w:numPr>
              <w:jc w:val="both"/>
              <w:rPr>
                <w:i/>
                <w:lang w:eastAsia="en-GB"/>
              </w:rPr>
            </w:pPr>
            <w:r w:rsidRPr="00DF6F04">
              <w:rPr>
                <w:i/>
                <w:lang w:eastAsia="en-GB"/>
              </w:rPr>
              <w:t>Business wins and losses; and</w:t>
            </w:r>
          </w:p>
          <w:p w:rsidR="00A76E9D" w:rsidRPr="00DF6F04" w:rsidRDefault="00A76E9D" w:rsidP="00A76E9D">
            <w:pPr>
              <w:pStyle w:val="NumberedParagraph"/>
              <w:numPr>
                <w:ilvl w:val="0"/>
                <w:numId w:val="15"/>
              </w:numPr>
              <w:jc w:val="both"/>
              <w:rPr>
                <w:i/>
                <w:lang w:eastAsia="en-GB"/>
              </w:rPr>
            </w:pPr>
            <w:r w:rsidRPr="00DF6F04">
              <w:rPr>
                <w:i/>
                <w:lang w:eastAsia="en-GB"/>
              </w:rPr>
              <w:t>Corporate and other issues.</w:t>
            </w:r>
          </w:p>
          <w:p w:rsidR="00A76E9D" w:rsidRPr="00DF6F04" w:rsidRDefault="00A76E9D" w:rsidP="00007D43">
            <w:pPr>
              <w:pStyle w:val="NumberedParagraph"/>
              <w:tabs>
                <w:tab w:val="clear" w:pos="720"/>
              </w:tabs>
              <w:ind w:left="720"/>
              <w:jc w:val="both"/>
              <w:rPr>
                <w:i/>
                <w:lang w:eastAsia="en-GB"/>
              </w:rPr>
            </w:pPr>
          </w:p>
          <w:p w:rsidR="00A76E9D" w:rsidRPr="00DF6F04" w:rsidRDefault="00A76E9D" w:rsidP="00007D43">
            <w:pPr>
              <w:pStyle w:val="NumberedParagraph"/>
              <w:jc w:val="both"/>
              <w:rPr>
                <w:i/>
                <w:lang w:eastAsia="en-GB"/>
              </w:rPr>
            </w:pPr>
            <w:r w:rsidRPr="00DF6F04">
              <w:rPr>
                <w:i/>
                <w:lang w:eastAsia="en-GB"/>
              </w:rPr>
              <w:t>Voting is delegated to Fund Managers through the Investment Management Agreement (IMA).</w:t>
            </w:r>
          </w:p>
          <w:p w:rsidR="00A76E9D" w:rsidRPr="00DF6F04" w:rsidRDefault="00A76E9D" w:rsidP="00007D43">
            <w:pPr>
              <w:pStyle w:val="text"/>
              <w:jc w:val="both"/>
              <w:rPr>
                <w:i/>
                <w:color w:val="auto"/>
                <w:sz w:val="24"/>
                <w:szCs w:val="24"/>
              </w:rPr>
            </w:pPr>
            <w:r w:rsidRPr="00DF6F04">
              <w:rPr>
                <w:i/>
                <w:color w:val="auto"/>
                <w:sz w:val="24"/>
                <w:szCs w:val="24"/>
              </w:rPr>
              <w:t>Baillie Gifford, UBS and Kempen take direct responsibility for stewardship issues, voting and engagement, in the funds which they manage on our behalf. These managers publish Statements of Compliance with the Stewardship code.</w:t>
            </w:r>
          </w:p>
          <w:p w:rsidR="00A76E9D" w:rsidRPr="00DF6F04" w:rsidRDefault="00A76E9D" w:rsidP="00007D43">
            <w:pPr>
              <w:rPr>
                <w:rFonts w:ascii="Arial" w:hAnsi="Arial" w:cs="Arial"/>
                <w:i/>
                <w:color w:val="1F497D"/>
              </w:rPr>
            </w:pPr>
            <w:r w:rsidRPr="00DF6F04">
              <w:rPr>
                <w:rFonts w:ascii="Arial" w:hAnsi="Arial" w:cs="Arial"/>
                <w:i/>
              </w:rPr>
              <w:t>Details are available on their websites at</w:t>
            </w:r>
            <w:r w:rsidRPr="00DF6F04">
              <w:rPr>
                <w:rFonts w:ascii="Arial" w:hAnsi="Arial" w:cs="Arial"/>
                <w:i/>
                <w:color w:val="1F497D"/>
              </w:rPr>
              <w:t xml:space="preserve"> </w:t>
            </w:r>
          </w:p>
          <w:p w:rsidR="00A76E9D" w:rsidRPr="00DF6F04" w:rsidRDefault="00A76E9D" w:rsidP="00007D43">
            <w:pPr>
              <w:rPr>
                <w:rFonts w:ascii="Arial" w:hAnsi="Arial" w:cs="Arial"/>
                <w:i/>
                <w:color w:val="1F497D"/>
              </w:rPr>
            </w:pPr>
          </w:p>
          <w:p w:rsidR="00A76E9D" w:rsidRPr="00DF6F04" w:rsidRDefault="003C64A1" w:rsidP="00007D43">
            <w:pPr>
              <w:rPr>
                <w:rFonts w:ascii="Arial" w:hAnsi="Arial" w:cs="Arial"/>
                <w:i/>
              </w:rPr>
            </w:pPr>
            <w:hyperlink r:id="rId15" w:history="1">
              <w:r w:rsidR="00A76E9D" w:rsidRPr="00DF6F04">
                <w:rPr>
                  <w:rStyle w:val="Hyperlink"/>
                  <w:rFonts w:eastAsiaTheme="majorEastAsia"/>
                </w:rPr>
                <w:t>www.bailliegifford.com/pages/UKInstitutional/CorporateGovernance/CorporateGovernaceSRI.aspx</w:t>
              </w:r>
            </w:hyperlink>
            <w:r w:rsidR="00A76E9D" w:rsidRPr="00DF6F04">
              <w:rPr>
                <w:rFonts w:ascii="Arial" w:hAnsi="Arial" w:cs="Arial"/>
                <w:i/>
              </w:rPr>
              <w:t xml:space="preserve">  </w:t>
            </w:r>
          </w:p>
          <w:p w:rsidR="00A76E9D" w:rsidRPr="00DF6F04" w:rsidRDefault="00A76E9D" w:rsidP="00007D43">
            <w:pPr>
              <w:rPr>
                <w:rFonts w:ascii="Arial" w:hAnsi="Arial" w:cs="Arial"/>
                <w:i/>
              </w:rPr>
            </w:pPr>
          </w:p>
          <w:p w:rsidR="00A76E9D" w:rsidRPr="00DF6F04" w:rsidRDefault="003C64A1" w:rsidP="00007D43">
            <w:pPr>
              <w:rPr>
                <w:rFonts w:ascii="Arial" w:hAnsi="Arial" w:cs="Arial"/>
                <w:i/>
              </w:rPr>
            </w:pPr>
            <w:hyperlink r:id="rId16" w:history="1">
              <w:r w:rsidR="00A76E9D" w:rsidRPr="00DF6F04">
                <w:rPr>
                  <w:rStyle w:val="Hyperlink"/>
                  <w:rFonts w:eastAsiaTheme="majorEastAsia"/>
                </w:rPr>
                <w:t>http://www.ubs.com/global/en/about_ubs/corporate_covernance.htm</w:t>
              </w:r>
            </w:hyperlink>
          </w:p>
          <w:p w:rsidR="00A76E9D" w:rsidRPr="00DF6F04" w:rsidRDefault="00A76E9D" w:rsidP="00007D43">
            <w:pPr>
              <w:rPr>
                <w:rFonts w:ascii="Arial" w:hAnsi="Arial" w:cs="Arial"/>
                <w:i/>
              </w:rPr>
            </w:pPr>
          </w:p>
          <w:p w:rsidR="00A76E9D" w:rsidRPr="00DF6F04" w:rsidRDefault="00A76E9D" w:rsidP="00007D43">
            <w:pPr>
              <w:jc w:val="both"/>
              <w:rPr>
                <w:rStyle w:val="Hyperlink"/>
                <w:rFonts w:eastAsiaTheme="majorEastAsia"/>
                <w:i/>
              </w:rPr>
            </w:pPr>
            <w:r w:rsidRPr="00DF6F04">
              <w:rPr>
                <w:rStyle w:val="Hyperlink"/>
                <w:rFonts w:eastAsiaTheme="majorEastAsia"/>
              </w:rPr>
              <w:t>http://www.kempen.nl/over_kempen.aspx?id=27770 _</w:t>
            </w:r>
          </w:p>
          <w:p w:rsidR="00A76E9D" w:rsidRPr="00DF6F04" w:rsidRDefault="00A76E9D" w:rsidP="00007D43">
            <w:pPr>
              <w:jc w:val="both"/>
              <w:rPr>
                <w:rFonts w:ascii="Arial" w:hAnsi="Arial" w:cs="Arial"/>
                <w:i/>
                <w:color w:val="0000FF"/>
                <w:u w:val="single"/>
              </w:rPr>
            </w:pPr>
          </w:p>
        </w:tc>
      </w:tr>
      <w:tr w:rsidR="00A76E9D" w:rsidRPr="00DF6F04" w:rsidTr="00007D43">
        <w:trPr>
          <w:gridAfter w:val="1"/>
          <w:wAfter w:w="15" w:type="dxa"/>
          <w:cantSplit/>
        </w:trPr>
        <w:tc>
          <w:tcPr>
            <w:tcW w:w="2553" w:type="dxa"/>
          </w:tcPr>
          <w:p w:rsidR="00A76E9D" w:rsidRPr="00DF6F04" w:rsidRDefault="00A76E9D" w:rsidP="00007D43">
            <w:pPr>
              <w:autoSpaceDE w:val="0"/>
              <w:autoSpaceDN w:val="0"/>
              <w:adjustRightInd w:val="0"/>
              <w:rPr>
                <w:rFonts w:ascii="Arial" w:hAnsi="Arial" w:cs="Arial"/>
                <w:b/>
                <w:i/>
              </w:rPr>
            </w:pPr>
            <w:r w:rsidRPr="00DF6F04">
              <w:rPr>
                <w:rFonts w:ascii="Arial" w:hAnsi="Arial" w:cs="Arial"/>
                <w:b/>
                <w:i/>
              </w:rPr>
              <w:t>Principle 2</w:t>
            </w:r>
          </w:p>
          <w:p w:rsidR="00A76E9D" w:rsidRPr="00DF6F04" w:rsidRDefault="00A76E9D" w:rsidP="00007D43">
            <w:pPr>
              <w:autoSpaceDE w:val="0"/>
              <w:autoSpaceDN w:val="0"/>
              <w:adjustRightInd w:val="0"/>
              <w:rPr>
                <w:rFonts w:ascii="Arial" w:hAnsi="Arial" w:cs="Arial"/>
                <w:i/>
              </w:rPr>
            </w:pPr>
            <w:r w:rsidRPr="00DF6F04">
              <w:rPr>
                <w:rFonts w:ascii="Arial" w:hAnsi="Arial" w:cs="Arial"/>
                <w:i/>
              </w:rPr>
              <w:t>Institutional investors should have a robust policy on managing conflicts of interest in relation to stewardship and this policy should be publicly disclosed.</w:t>
            </w:r>
          </w:p>
        </w:tc>
        <w:tc>
          <w:tcPr>
            <w:tcW w:w="7512" w:type="dxa"/>
          </w:tcPr>
          <w:p w:rsidR="00A76E9D" w:rsidRPr="00DF6F04" w:rsidRDefault="00A76E9D" w:rsidP="00007D43">
            <w:pPr>
              <w:pStyle w:val="BodyTextIndent"/>
              <w:ind w:left="0"/>
              <w:rPr>
                <w:rFonts w:ascii="Arial" w:hAnsi="Arial" w:cs="Arial"/>
                <w:i/>
                <w:szCs w:val="24"/>
                <w:lang w:eastAsia="en-GB"/>
              </w:rPr>
            </w:pPr>
            <w:r w:rsidRPr="00DF6F04">
              <w:rPr>
                <w:rFonts w:ascii="Arial" w:hAnsi="Arial" w:cs="Arial"/>
                <w:i/>
                <w:szCs w:val="24"/>
                <w:lang w:eastAsia="en-GB"/>
              </w:rPr>
              <w:t xml:space="preserve">We also encourage the asset managers employed by the Funds to have effective policies addressing potential conflicts of interest. </w:t>
            </w:r>
          </w:p>
          <w:p w:rsidR="00A76E9D" w:rsidRPr="00DF6F04" w:rsidRDefault="00A76E9D" w:rsidP="00007D43">
            <w:pPr>
              <w:pStyle w:val="BodyTextIndent"/>
              <w:ind w:left="0"/>
              <w:rPr>
                <w:rFonts w:ascii="Arial" w:hAnsi="Arial" w:cs="Arial"/>
                <w:i/>
                <w:szCs w:val="24"/>
                <w:lang w:eastAsia="en-GB"/>
              </w:rPr>
            </w:pPr>
            <w:r w:rsidRPr="00DF6F04">
              <w:rPr>
                <w:rFonts w:ascii="Arial" w:hAnsi="Arial" w:cs="Arial"/>
                <w:i/>
                <w:szCs w:val="24"/>
                <w:lang w:eastAsia="en-GB"/>
              </w:rPr>
              <w:t xml:space="preserve">In respect of conflicts of interest within the Fund, Pension Panel members are required to make declarations of interest prior to Panel meetings. </w:t>
            </w:r>
          </w:p>
          <w:p w:rsidR="00A76E9D" w:rsidRPr="00DF6F04" w:rsidRDefault="00A76E9D" w:rsidP="00007D43">
            <w:pPr>
              <w:autoSpaceDE w:val="0"/>
              <w:autoSpaceDN w:val="0"/>
              <w:adjustRightInd w:val="0"/>
              <w:spacing w:before="60" w:after="60"/>
              <w:ind w:left="-5"/>
              <w:jc w:val="both"/>
              <w:rPr>
                <w:rFonts w:ascii="Arial" w:hAnsi="Arial" w:cs="Arial"/>
                <w:i/>
              </w:rPr>
            </w:pPr>
            <w:r w:rsidRPr="00DF6F04">
              <w:rPr>
                <w:rFonts w:ascii="Arial" w:hAnsi="Arial" w:cs="Arial"/>
                <w:i/>
              </w:rPr>
              <w:t xml:space="preserve">The Funds’ overriding obligation is to act in the best financial interests of the members. </w:t>
            </w:r>
          </w:p>
        </w:tc>
      </w:tr>
      <w:tr w:rsidR="00A76E9D" w:rsidRPr="00DF6F04" w:rsidTr="00007D43">
        <w:trPr>
          <w:gridAfter w:val="1"/>
          <w:wAfter w:w="15" w:type="dxa"/>
          <w:cantSplit/>
        </w:trPr>
        <w:tc>
          <w:tcPr>
            <w:tcW w:w="2553" w:type="dxa"/>
          </w:tcPr>
          <w:p w:rsidR="00A76E9D" w:rsidRPr="00DF6F04" w:rsidRDefault="00A76E9D" w:rsidP="00007D43">
            <w:pPr>
              <w:autoSpaceDE w:val="0"/>
              <w:autoSpaceDN w:val="0"/>
              <w:adjustRightInd w:val="0"/>
              <w:rPr>
                <w:rFonts w:ascii="Arial" w:hAnsi="Arial" w:cs="Arial"/>
                <w:b/>
                <w:i/>
              </w:rPr>
            </w:pPr>
            <w:r w:rsidRPr="00DF6F04">
              <w:rPr>
                <w:rFonts w:ascii="Arial" w:hAnsi="Arial" w:cs="Arial"/>
                <w:b/>
                <w:i/>
              </w:rPr>
              <w:lastRenderedPageBreak/>
              <w:t>Principle 3</w:t>
            </w:r>
          </w:p>
          <w:p w:rsidR="00A76E9D" w:rsidRPr="00DF6F04" w:rsidRDefault="00A76E9D" w:rsidP="00007D43">
            <w:pPr>
              <w:autoSpaceDE w:val="0"/>
              <w:autoSpaceDN w:val="0"/>
              <w:adjustRightInd w:val="0"/>
              <w:rPr>
                <w:rFonts w:ascii="Arial" w:hAnsi="Arial" w:cs="Arial"/>
                <w:i/>
              </w:rPr>
            </w:pPr>
            <w:r w:rsidRPr="00DF6F04">
              <w:rPr>
                <w:rFonts w:ascii="Arial" w:hAnsi="Arial" w:cs="Arial"/>
                <w:i/>
              </w:rPr>
              <w:t>Institutional investors should monitor their investee companies.</w:t>
            </w:r>
          </w:p>
          <w:p w:rsidR="00A76E9D" w:rsidRPr="00DF6F04" w:rsidRDefault="00A76E9D" w:rsidP="00007D43">
            <w:pPr>
              <w:autoSpaceDE w:val="0"/>
              <w:autoSpaceDN w:val="0"/>
              <w:adjustRightInd w:val="0"/>
              <w:rPr>
                <w:rFonts w:ascii="Arial" w:hAnsi="Arial" w:cs="Arial"/>
                <w:i/>
              </w:rPr>
            </w:pPr>
          </w:p>
          <w:p w:rsidR="00A76E9D" w:rsidRPr="00DF6F04" w:rsidRDefault="00A76E9D" w:rsidP="00007D43">
            <w:pPr>
              <w:autoSpaceDE w:val="0"/>
              <w:autoSpaceDN w:val="0"/>
              <w:adjustRightInd w:val="0"/>
              <w:rPr>
                <w:rFonts w:ascii="Arial" w:hAnsi="Arial" w:cs="Arial"/>
                <w:i/>
              </w:rPr>
            </w:pPr>
          </w:p>
        </w:tc>
        <w:tc>
          <w:tcPr>
            <w:tcW w:w="7512" w:type="dxa"/>
          </w:tcPr>
          <w:p w:rsidR="00A76E9D" w:rsidRPr="00DF6F04" w:rsidRDefault="00A76E9D" w:rsidP="00007D43">
            <w:pPr>
              <w:autoSpaceDE w:val="0"/>
              <w:autoSpaceDN w:val="0"/>
              <w:adjustRightInd w:val="0"/>
              <w:spacing w:before="60" w:after="60"/>
              <w:ind w:left="-5"/>
              <w:rPr>
                <w:rFonts w:ascii="Arial" w:hAnsi="Arial" w:cs="Arial"/>
                <w:i/>
              </w:rPr>
            </w:pPr>
            <w:r w:rsidRPr="00DF6F04">
              <w:rPr>
                <w:rFonts w:ascii="Arial" w:hAnsi="Arial" w:cs="Arial"/>
                <w:i/>
              </w:rPr>
              <w:t>Day-to-day responsibility for managing the Fund’s investments is delegated to the relevant fund managers, who are expected to monitor companies, intervene where necessary, and report back regularly on activity undertaken.</w:t>
            </w:r>
          </w:p>
          <w:p w:rsidR="00A76E9D" w:rsidRPr="00DF6F04" w:rsidRDefault="00A76E9D" w:rsidP="00007D43">
            <w:pPr>
              <w:autoSpaceDE w:val="0"/>
              <w:autoSpaceDN w:val="0"/>
              <w:adjustRightInd w:val="0"/>
              <w:spacing w:before="60" w:after="60"/>
              <w:ind w:left="-5"/>
              <w:rPr>
                <w:rFonts w:ascii="Arial" w:hAnsi="Arial" w:cs="Arial"/>
                <w:i/>
              </w:rPr>
            </w:pPr>
            <w:r w:rsidRPr="00DF6F04">
              <w:rPr>
                <w:rFonts w:ascii="Arial" w:hAnsi="Arial" w:cs="Arial"/>
                <w:i/>
              </w:rPr>
              <w:t>Reports from fund managers on voting and engagement activity will be reported to the Panel on a quarterly basis from June 2013.</w:t>
            </w:r>
          </w:p>
          <w:p w:rsidR="00A76E9D" w:rsidRPr="00DF6F04" w:rsidRDefault="00A76E9D" w:rsidP="00007D43">
            <w:pPr>
              <w:autoSpaceDE w:val="0"/>
              <w:autoSpaceDN w:val="0"/>
              <w:adjustRightInd w:val="0"/>
              <w:spacing w:before="60" w:after="60"/>
              <w:ind w:left="-5"/>
              <w:rPr>
                <w:rFonts w:ascii="Arial" w:hAnsi="Arial" w:cs="Arial"/>
                <w:i/>
              </w:rPr>
            </w:pPr>
            <w:r w:rsidRPr="00DF6F04">
              <w:rPr>
                <w:rFonts w:ascii="Arial" w:hAnsi="Arial" w:cs="Arial"/>
                <w:i/>
              </w:rPr>
              <w:t>Concerns are raised directly with the fund managers and issues raised are reported back to the Panel at the subsequent Panel meeting.</w:t>
            </w:r>
          </w:p>
          <w:p w:rsidR="00A76E9D" w:rsidRPr="00DF6F04" w:rsidRDefault="00A76E9D" w:rsidP="00007D43">
            <w:pPr>
              <w:autoSpaceDE w:val="0"/>
              <w:autoSpaceDN w:val="0"/>
              <w:adjustRightInd w:val="0"/>
              <w:spacing w:before="60" w:after="60"/>
              <w:ind w:left="-5"/>
              <w:rPr>
                <w:rFonts w:ascii="Arial" w:hAnsi="Arial" w:cs="Arial"/>
                <w:i/>
              </w:rPr>
            </w:pPr>
            <w:r w:rsidRPr="00DF6F04">
              <w:rPr>
                <w:rFonts w:ascii="Arial" w:hAnsi="Arial" w:cs="Arial"/>
                <w:i/>
              </w:rPr>
              <w:t>Fund manager Internal Control reports are monitored, with breaches reported back to the Panel.</w:t>
            </w:r>
          </w:p>
          <w:p w:rsidR="00A76E9D" w:rsidRPr="00DF6F04" w:rsidRDefault="00A76E9D" w:rsidP="00007D43">
            <w:pPr>
              <w:autoSpaceDE w:val="0"/>
              <w:autoSpaceDN w:val="0"/>
              <w:adjustRightInd w:val="0"/>
              <w:spacing w:line="201" w:lineRule="atLeast"/>
              <w:jc w:val="both"/>
              <w:rPr>
                <w:rFonts w:ascii="Arial" w:hAnsi="Arial" w:cs="Arial"/>
                <w:i/>
              </w:rPr>
            </w:pPr>
            <w:r w:rsidRPr="00DF6F04">
              <w:rPr>
                <w:rFonts w:ascii="Arial" w:hAnsi="Arial" w:cs="Arial"/>
                <w:i/>
              </w:rPr>
              <w:t>Where the Fund is directly invested, such as infrastructure, members of the Panel and officers are able to attend their AGM.</w:t>
            </w:r>
          </w:p>
          <w:p w:rsidR="00A76E9D" w:rsidRPr="00DF6F04" w:rsidRDefault="00A76E9D" w:rsidP="00007D43">
            <w:pPr>
              <w:autoSpaceDE w:val="0"/>
              <w:autoSpaceDN w:val="0"/>
              <w:adjustRightInd w:val="0"/>
              <w:spacing w:line="201" w:lineRule="atLeast"/>
              <w:jc w:val="both"/>
              <w:rPr>
                <w:rFonts w:ascii="Arial" w:hAnsi="Arial" w:cs="Arial"/>
                <w:i/>
              </w:rPr>
            </w:pPr>
          </w:p>
        </w:tc>
      </w:tr>
      <w:tr w:rsidR="00A76E9D" w:rsidRPr="00DF6F04" w:rsidTr="00007D43">
        <w:trPr>
          <w:gridAfter w:val="1"/>
          <w:wAfter w:w="15" w:type="dxa"/>
          <w:cantSplit/>
          <w:trHeight w:val="3694"/>
        </w:trPr>
        <w:tc>
          <w:tcPr>
            <w:tcW w:w="2553" w:type="dxa"/>
            <w:vAlign w:val="center"/>
          </w:tcPr>
          <w:p w:rsidR="00A76E9D" w:rsidRPr="00DF6F04" w:rsidRDefault="00A76E9D" w:rsidP="00007D43">
            <w:pPr>
              <w:autoSpaceDE w:val="0"/>
              <w:autoSpaceDN w:val="0"/>
              <w:adjustRightInd w:val="0"/>
              <w:rPr>
                <w:rFonts w:ascii="Arial" w:hAnsi="Arial" w:cs="Arial"/>
                <w:b/>
                <w:i/>
              </w:rPr>
            </w:pPr>
            <w:r w:rsidRPr="00DF6F04">
              <w:rPr>
                <w:rFonts w:ascii="Arial" w:hAnsi="Arial" w:cs="Arial"/>
                <w:b/>
                <w:i/>
              </w:rPr>
              <w:t>Principle 4</w:t>
            </w:r>
          </w:p>
          <w:p w:rsidR="00A76E9D" w:rsidRPr="00DF6F04" w:rsidRDefault="00A76E9D" w:rsidP="00007D43">
            <w:pPr>
              <w:autoSpaceDE w:val="0"/>
              <w:autoSpaceDN w:val="0"/>
              <w:adjustRightInd w:val="0"/>
              <w:rPr>
                <w:rFonts w:ascii="Arial" w:hAnsi="Arial" w:cs="Arial"/>
                <w:i/>
              </w:rPr>
            </w:pPr>
            <w:r w:rsidRPr="00DF6F04">
              <w:rPr>
                <w:rFonts w:ascii="Arial" w:hAnsi="Arial" w:cs="Arial"/>
                <w:i/>
              </w:rPr>
              <w:t xml:space="preserve">Institutional investors should establish clear guidelines on when and how they will escalate their </w:t>
            </w:r>
            <w:r>
              <w:rPr>
                <w:rFonts w:ascii="Arial" w:hAnsi="Arial" w:cs="Arial"/>
                <w:i/>
              </w:rPr>
              <w:t xml:space="preserve">stewardship </w:t>
            </w:r>
            <w:r w:rsidRPr="00DF6F04">
              <w:rPr>
                <w:rFonts w:ascii="Arial" w:hAnsi="Arial" w:cs="Arial"/>
                <w:i/>
              </w:rPr>
              <w:t>activities.</w:t>
            </w:r>
          </w:p>
          <w:p w:rsidR="00A76E9D" w:rsidRPr="00DF6F04" w:rsidRDefault="00A76E9D" w:rsidP="00007D43">
            <w:pPr>
              <w:autoSpaceDE w:val="0"/>
              <w:autoSpaceDN w:val="0"/>
              <w:adjustRightInd w:val="0"/>
              <w:spacing w:before="60" w:after="60"/>
              <w:rPr>
                <w:rFonts w:ascii="Arial" w:hAnsi="Arial" w:cs="Arial"/>
                <w:i/>
              </w:rPr>
            </w:pPr>
          </w:p>
        </w:tc>
        <w:tc>
          <w:tcPr>
            <w:tcW w:w="7512" w:type="dxa"/>
          </w:tcPr>
          <w:p w:rsidR="00A76E9D" w:rsidRPr="00DF6F04" w:rsidRDefault="00A76E9D" w:rsidP="00007D43">
            <w:pPr>
              <w:pStyle w:val="NumberedParagraph"/>
              <w:tabs>
                <w:tab w:val="clear" w:pos="720"/>
              </w:tabs>
              <w:jc w:val="both"/>
              <w:rPr>
                <w:i/>
              </w:rPr>
            </w:pPr>
            <w:r w:rsidRPr="00DF6F04">
              <w:rPr>
                <w:i/>
              </w:rPr>
              <w:t xml:space="preserve">As highlighted above, responsibility for day-to-day interaction with companies is delegated, including the escalation of engagement when necessary. </w:t>
            </w:r>
          </w:p>
          <w:p w:rsidR="00A76E9D" w:rsidRPr="00DF6F04" w:rsidRDefault="00A76E9D" w:rsidP="00007D43">
            <w:pPr>
              <w:pStyle w:val="NumberedParagraph"/>
              <w:tabs>
                <w:tab w:val="clear" w:pos="720"/>
              </w:tabs>
              <w:jc w:val="both"/>
              <w:rPr>
                <w:i/>
              </w:rPr>
            </w:pPr>
          </w:p>
          <w:p w:rsidR="00A76E9D" w:rsidRPr="00DF6F04" w:rsidRDefault="00A76E9D" w:rsidP="00007D43">
            <w:pPr>
              <w:pStyle w:val="NumberedParagraph"/>
              <w:tabs>
                <w:tab w:val="clear" w:pos="720"/>
              </w:tabs>
              <w:jc w:val="both"/>
              <w:rPr>
                <w:i/>
              </w:rPr>
            </w:pPr>
            <w:r w:rsidRPr="00DF6F04">
              <w:rPr>
                <w:i/>
              </w:rPr>
              <w:t>We expect the approach to engagement on our behalf to be value orientated and focussed on long term profitability. We expect Kempen, Baillie Gifford and UBS to disclose their guidelines for such activities in their own statements of adherence to the Code. Their guidelines for such activities are expected to be disclosed in their own statement of adherence to the Stewardship Code.</w:t>
            </w:r>
          </w:p>
          <w:p w:rsidR="00A76E9D" w:rsidRPr="00DF6F04" w:rsidRDefault="00A76E9D" w:rsidP="00007D43">
            <w:pPr>
              <w:pStyle w:val="NumberedParagraph"/>
              <w:tabs>
                <w:tab w:val="clear" w:pos="720"/>
              </w:tabs>
              <w:jc w:val="both"/>
              <w:rPr>
                <w:i/>
              </w:rPr>
            </w:pPr>
          </w:p>
          <w:p w:rsidR="00A76E9D" w:rsidRPr="00DF6F04" w:rsidRDefault="00A76E9D" w:rsidP="00007D43">
            <w:pPr>
              <w:pStyle w:val="NumberedParagraph"/>
              <w:tabs>
                <w:tab w:val="clear" w:pos="720"/>
              </w:tabs>
              <w:jc w:val="both"/>
              <w:rPr>
                <w:i/>
              </w:rPr>
            </w:pPr>
            <w:r w:rsidRPr="00DF6F04">
              <w:rPr>
                <w:i/>
              </w:rPr>
              <w:t xml:space="preserve">Consistent with our fiduciary duty to beneficiaries, we also participate in shareholder litigation. We pursue compensation for any losses sustained because of inappropriate actions by company directors in order to encourage improved conduct in the future. </w:t>
            </w:r>
          </w:p>
          <w:p w:rsidR="00A76E9D" w:rsidRPr="00DF6F04" w:rsidRDefault="00A76E9D" w:rsidP="00007D43">
            <w:pPr>
              <w:pStyle w:val="NumberedParagraph"/>
              <w:tabs>
                <w:tab w:val="clear" w:pos="720"/>
              </w:tabs>
              <w:jc w:val="both"/>
              <w:rPr>
                <w:i/>
                <w:lang w:eastAsia="en-GB"/>
              </w:rPr>
            </w:pPr>
          </w:p>
        </w:tc>
      </w:tr>
      <w:tr w:rsidR="00A76E9D" w:rsidRPr="00DF6F04" w:rsidTr="00007D43">
        <w:trPr>
          <w:gridAfter w:val="1"/>
          <w:wAfter w:w="15" w:type="dxa"/>
          <w:cantSplit/>
          <w:trHeight w:val="1942"/>
        </w:trPr>
        <w:tc>
          <w:tcPr>
            <w:tcW w:w="2553" w:type="dxa"/>
          </w:tcPr>
          <w:p w:rsidR="00A76E9D" w:rsidRPr="00DF6F04" w:rsidRDefault="00A76E9D" w:rsidP="00007D43">
            <w:pPr>
              <w:autoSpaceDE w:val="0"/>
              <w:autoSpaceDN w:val="0"/>
              <w:adjustRightInd w:val="0"/>
              <w:rPr>
                <w:rFonts w:ascii="Arial" w:hAnsi="Arial" w:cs="Arial"/>
                <w:b/>
                <w:i/>
              </w:rPr>
            </w:pPr>
            <w:r w:rsidRPr="00DF6F04">
              <w:rPr>
                <w:rFonts w:ascii="Arial" w:hAnsi="Arial" w:cs="Arial"/>
                <w:b/>
                <w:i/>
              </w:rPr>
              <w:t>Principle 5</w:t>
            </w:r>
          </w:p>
          <w:p w:rsidR="00A76E9D" w:rsidRPr="00DF6F04" w:rsidRDefault="00A76E9D" w:rsidP="00007D43">
            <w:pPr>
              <w:autoSpaceDE w:val="0"/>
              <w:autoSpaceDN w:val="0"/>
              <w:adjustRightInd w:val="0"/>
              <w:rPr>
                <w:rFonts w:ascii="Arial" w:hAnsi="Arial" w:cs="Arial"/>
                <w:i/>
              </w:rPr>
            </w:pPr>
            <w:r w:rsidRPr="00DF6F04">
              <w:rPr>
                <w:rFonts w:ascii="Arial" w:hAnsi="Arial" w:cs="Arial"/>
                <w:i/>
              </w:rPr>
              <w:t>Institutional investors should be willing to act collectively with other investors where appropriate</w:t>
            </w:r>
          </w:p>
          <w:p w:rsidR="00A76E9D" w:rsidRPr="00DF6F04" w:rsidRDefault="00A76E9D" w:rsidP="00007D43">
            <w:pPr>
              <w:autoSpaceDE w:val="0"/>
              <w:autoSpaceDN w:val="0"/>
              <w:adjustRightInd w:val="0"/>
              <w:spacing w:before="60" w:after="60"/>
              <w:rPr>
                <w:rFonts w:ascii="Arial" w:hAnsi="Arial" w:cs="Arial"/>
                <w:i/>
              </w:rPr>
            </w:pPr>
          </w:p>
        </w:tc>
        <w:tc>
          <w:tcPr>
            <w:tcW w:w="7512" w:type="dxa"/>
            <w:vAlign w:val="center"/>
          </w:tcPr>
          <w:p w:rsidR="00A76E9D" w:rsidRPr="00DF6F04" w:rsidRDefault="00A76E9D" w:rsidP="00007D43">
            <w:pPr>
              <w:autoSpaceDE w:val="0"/>
              <w:autoSpaceDN w:val="0"/>
              <w:adjustRightInd w:val="0"/>
              <w:ind w:right="-20"/>
              <w:rPr>
                <w:rFonts w:ascii="Arial" w:hAnsi="Arial" w:cs="Arial"/>
                <w:i/>
                <w:color w:val="000000"/>
              </w:rPr>
            </w:pPr>
            <w:r w:rsidRPr="00DF6F04">
              <w:rPr>
                <w:rFonts w:ascii="Arial" w:hAnsi="Arial" w:cs="Arial"/>
                <w:i/>
                <w:color w:val="000000"/>
              </w:rPr>
              <w:t xml:space="preserve">The Fund seeks to work collaboratively with other institutional shareholders in order to maximize the influence that it can have on individual companies. </w:t>
            </w:r>
          </w:p>
          <w:p w:rsidR="00A76E9D" w:rsidRDefault="00A76E9D" w:rsidP="00007D43">
            <w:pPr>
              <w:autoSpaceDE w:val="0"/>
              <w:autoSpaceDN w:val="0"/>
              <w:adjustRightInd w:val="0"/>
              <w:ind w:right="-20"/>
              <w:rPr>
                <w:rFonts w:ascii="Arial" w:hAnsi="Arial" w:cs="Arial"/>
                <w:i/>
                <w:color w:val="000000"/>
              </w:rPr>
            </w:pPr>
          </w:p>
          <w:p w:rsidR="00A76E9D" w:rsidRPr="00DF6F04" w:rsidRDefault="00A76E9D" w:rsidP="00007D43">
            <w:pPr>
              <w:autoSpaceDE w:val="0"/>
              <w:autoSpaceDN w:val="0"/>
              <w:adjustRightInd w:val="0"/>
              <w:ind w:right="-20"/>
              <w:rPr>
                <w:rFonts w:ascii="Arial" w:hAnsi="Arial" w:cs="Arial"/>
                <w:i/>
                <w:color w:val="000000"/>
              </w:rPr>
            </w:pPr>
            <w:r w:rsidRPr="00B27080">
              <w:rPr>
                <w:rFonts w:ascii="Arial" w:hAnsi="Arial" w:cs="Arial"/>
                <w:i/>
                <w:color w:val="000000"/>
              </w:rPr>
              <w:t>The Fund is a member of the Local Authority Pension Fund Forum (LAPFF) which seeks to promote the highest standards of corporate governance and corporate responsibility amongst investee companies.</w:t>
            </w:r>
          </w:p>
          <w:p w:rsidR="00A76E9D" w:rsidRPr="00DF6F04" w:rsidRDefault="00A76E9D" w:rsidP="00007D43">
            <w:pPr>
              <w:autoSpaceDE w:val="0"/>
              <w:autoSpaceDN w:val="0"/>
              <w:adjustRightInd w:val="0"/>
              <w:ind w:right="-20"/>
              <w:rPr>
                <w:rFonts w:ascii="Arial" w:hAnsi="Arial" w:cs="Arial"/>
                <w:i/>
                <w:color w:val="000000"/>
              </w:rPr>
            </w:pPr>
          </w:p>
          <w:p w:rsidR="00A76E9D" w:rsidRPr="00DF6F04" w:rsidRDefault="00A76E9D" w:rsidP="00007D43">
            <w:pPr>
              <w:autoSpaceDE w:val="0"/>
              <w:autoSpaceDN w:val="0"/>
              <w:adjustRightInd w:val="0"/>
              <w:ind w:right="-20"/>
              <w:rPr>
                <w:rFonts w:ascii="Arial" w:hAnsi="Arial" w:cs="Arial"/>
                <w:i/>
                <w:color w:val="000000"/>
              </w:rPr>
            </w:pPr>
            <w:r w:rsidRPr="00DF6F04">
              <w:rPr>
                <w:rFonts w:ascii="Arial" w:hAnsi="Arial" w:cs="Arial"/>
                <w:i/>
                <w:color w:val="000000"/>
              </w:rPr>
              <w:t>Where possible, the Fund seeks to exercise its voting rights attaching to its non- UK equity holdings by delegation through Power of Attorneys.</w:t>
            </w:r>
          </w:p>
          <w:p w:rsidR="00A76E9D" w:rsidRPr="00DF6F04" w:rsidRDefault="00A76E9D" w:rsidP="00007D43">
            <w:pPr>
              <w:autoSpaceDE w:val="0"/>
              <w:autoSpaceDN w:val="0"/>
              <w:adjustRightInd w:val="0"/>
              <w:ind w:right="-20"/>
              <w:rPr>
                <w:rFonts w:ascii="Arial" w:hAnsi="Arial" w:cs="Arial"/>
                <w:i/>
                <w:color w:val="000000"/>
              </w:rPr>
            </w:pPr>
          </w:p>
        </w:tc>
      </w:tr>
      <w:tr w:rsidR="00A76E9D" w:rsidRPr="00DF6F04" w:rsidTr="00007D43">
        <w:trPr>
          <w:gridAfter w:val="1"/>
          <w:wAfter w:w="15" w:type="dxa"/>
          <w:cantSplit/>
        </w:trPr>
        <w:tc>
          <w:tcPr>
            <w:tcW w:w="2553" w:type="dxa"/>
          </w:tcPr>
          <w:p w:rsidR="00A76E9D" w:rsidRPr="00DF6F04" w:rsidRDefault="00A76E9D" w:rsidP="00007D43">
            <w:pPr>
              <w:autoSpaceDE w:val="0"/>
              <w:autoSpaceDN w:val="0"/>
              <w:adjustRightInd w:val="0"/>
              <w:rPr>
                <w:rFonts w:ascii="Arial" w:hAnsi="Arial" w:cs="Arial"/>
                <w:b/>
                <w:i/>
              </w:rPr>
            </w:pPr>
            <w:r w:rsidRPr="00DF6F04">
              <w:rPr>
                <w:rFonts w:ascii="Arial" w:hAnsi="Arial" w:cs="Arial"/>
                <w:b/>
                <w:i/>
              </w:rPr>
              <w:lastRenderedPageBreak/>
              <w:t>Principle 6</w:t>
            </w:r>
          </w:p>
          <w:p w:rsidR="00A76E9D" w:rsidRPr="00DF6F04" w:rsidRDefault="00A76E9D" w:rsidP="00007D43">
            <w:pPr>
              <w:autoSpaceDE w:val="0"/>
              <w:autoSpaceDN w:val="0"/>
              <w:adjustRightInd w:val="0"/>
              <w:spacing w:before="60" w:after="60"/>
              <w:rPr>
                <w:rFonts w:ascii="Arial" w:hAnsi="Arial" w:cs="Arial"/>
                <w:b/>
                <w:i/>
              </w:rPr>
            </w:pPr>
            <w:r w:rsidRPr="00DF6F04">
              <w:rPr>
                <w:rFonts w:ascii="Arial" w:hAnsi="Arial" w:cs="Arial"/>
                <w:i/>
              </w:rPr>
              <w:t>Institutional investors should have a clear policy on voting and disclosure of voting activity.</w:t>
            </w:r>
          </w:p>
          <w:p w:rsidR="00A76E9D" w:rsidRPr="00DF6F04" w:rsidRDefault="00A76E9D" w:rsidP="00007D43">
            <w:pPr>
              <w:autoSpaceDE w:val="0"/>
              <w:autoSpaceDN w:val="0"/>
              <w:adjustRightInd w:val="0"/>
              <w:spacing w:before="60" w:after="60"/>
              <w:rPr>
                <w:rFonts w:ascii="Arial" w:hAnsi="Arial" w:cs="Arial"/>
                <w:b/>
                <w:i/>
              </w:rPr>
            </w:pPr>
          </w:p>
          <w:p w:rsidR="00A76E9D" w:rsidRPr="00DF6F04" w:rsidRDefault="00A76E9D" w:rsidP="00007D43">
            <w:pPr>
              <w:autoSpaceDE w:val="0"/>
              <w:autoSpaceDN w:val="0"/>
              <w:adjustRightInd w:val="0"/>
              <w:spacing w:before="60" w:after="60"/>
              <w:rPr>
                <w:rFonts w:ascii="Arial" w:hAnsi="Arial" w:cs="Arial"/>
                <w:i/>
              </w:rPr>
            </w:pPr>
          </w:p>
        </w:tc>
        <w:tc>
          <w:tcPr>
            <w:tcW w:w="7512" w:type="dxa"/>
            <w:vAlign w:val="center"/>
          </w:tcPr>
          <w:p w:rsidR="00A76E9D" w:rsidRPr="00DF6F04" w:rsidRDefault="00A76E9D" w:rsidP="00007D43">
            <w:pPr>
              <w:jc w:val="both"/>
              <w:rPr>
                <w:rFonts w:ascii="Arial" w:hAnsi="Arial" w:cs="Arial"/>
                <w:i/>
              </w:rPr>
            </w:pPr>
            <w:r w:rsidRPr="00DF6F04">
              <w:rPr>
                <w:rFonts w:ascii="Arial" w:hAnsi="Arial" w:cs="Arial"/>
                <w:i/>
              </w:rPr>
              <w:t xml:space="preserve">The emphasis of our voting policy is to promote best practice. </w:t>
            </w:r>
            <w:r w:rsidRPr="00DF6F04">
              <w:rPr>
                <w:rFonts w:ascii="Arial" w:hAnsi="Arial" w:cs="Arial"/>
                <w:i/>
              </w:rPr>
              <w:br/>
              <w:t>We seek to vote on all shares held.</w:t>
            </w:r>
          </w:p>
          <w:p w:rsidR="00A76E9D" w:rsidRPr="00DF6F04" w:rsidRDefault="00A76E9D" w:rsidP="00007D43">
            <w:pPr>
              <w:jc w:val="both"/>
              <w:rPr>
                <w:rFonts w:ascii="Arial" w:hAnsi="Arial" w:cs="Arial"/>
                <w:i/>
              </w:rPr>
            </w:pPr>
            <w:r w:rsidRPr="00DF6F04">
              <w:rPr>
                <w:rFonts w:ascii="Arial" w:hAnsi="Arial" w:cs="Arial"/>
                <w:i/>
              </w:rPr>
              <w:br/>
              <w:t>Our preference is for managers to vote on the Funds behalf and for responsible stewardship to be integral to the investment decision making process.</w:t>
            </w:r>
          </w:p>
          <w:p w:rsidR="00A76E9D" w:rsidRPr="00DF6F04" w:rsidRDefault="00A76E9D" w:rsidP="00007D43">
            <w:pPr>
              <w:rPr>
                <w:rFonts w:ascii="Arial" w:hAnsi="Arial" w:cs="Arial"/>
                <w:i/>
              </w:rPr>
            </w:pPr>
          </w:p>
          <w:p w:rsidR="00A76E9D" w:rsidRPr="00DF6F04" w:rsidRDefault="00A76E9D" w:rsidP="00007D43">
            <w:pPr>
              <w:jc w:val="both"/>
              <w:rPr>
                <w:rFonts w:ascii="Arial" w:hAnsi="Arial" w:cs="Arial"/>
                <w:i/>
              </w:rPr>
            </w:pPr>
            <w:r w:rsidRPr="00DF6F04">
              <w:rPr>
                <w:rFonts w:ascii="Arial" w:hAnsi="Arial" w:cs="Arial"/>
                <w:i/>
              </w:rPr>
              <w:t>We are comfortable with delegation of voting to Baillie Gifford and Kempen for the funds they manage.UBS vote on our behalf because the investment is in a passive pooled fund. The managers’ voting policies can be found at the websites mentioned above.</w:t>
            </w:r>
          </w:p>
          <w:p w:rsidR="00A76E9D" w:rsidRPr="00DF6F04" w:rsidRDefault="00A76E9D" w:rsidP="00007D43">
            <w:pPr>
              <w:autoSpaceDE w:val="0"/>
              <w:autoSpaceDN w:val="0"/>
              <w:adjustRightInd w:val="0"/>
              <w:spacing w:line="201" w:lineRule="atLeast"/>
              <w:jc w:val="both"/>
              <w:rPr>
                <w:rFonts w:ascii="Arial" w:hAnsi="Arial" w:cs="Arial"/>
                <w:i/>
              </w:rPr>
            </w:pPr>
          </w:p>
        </w:tc>
      </w:tr>
      <w:tr w:rsidR="00A76E9D" w:rsidRPr="008A04F2" w:rsidTr="00007D43">
        <w:trPr>
          <w:trHeight w:val="1594"/>
        </w:trPr>
        <w:tc>
          <w:tcPr>
            <w:tcW w:w="2557" w:type="dxa"/>
            <w:vAlign w:val="center"/>
          </w:tcPr>
          <w:p w:rsidR="00A76E9D" w:rsidRPr="00DF6F04" w:rsidRDefault="00A76E9D" w:rsidP="00007D43">
            <w:pPr>
              <w:autoSpaceDE w:val="0"/>
              <w:autoSpaceDN w:val="0"/>
              <w:adjustRightInd w:val="0"/>
              <w:rPr>
                <w:rFonts w:ascii="Arial" w:hAnsi="Arial" w:cs="Arial"/>
                <w:b/>
                <w:i/>
              </w:rPr>
            </w:pPr>
            <w:r w:rsidRPr="00DF6F04">
              <w:br w:type="page"/>
            </w:r>
            <w:r w:rsidRPr="00DF6F04">
              <w:rPr>
                <w:rFonts w:ascii="Arial" w:hAnsi="Arial" w:cs="Arial"/>
                <w:b/>
                <w:i/>
              </w:rPr>
              <w:t>Principle 7</w:t>
            </w:r>
          </w:p>
          <w:p w:rsidR="00A76E9D" w:rsidRPr="00DF6F04" w:rsidRDefault="00A76E9D" w:rsidP="00007D43">
            <w:pPr>
              <w:autoSpaceDE w:val="0"/>
              <w:autoSpaceDN w:val="0"/>
              <w:adjustRightInd w:val="0"/>
              <w:rPr>
                <w:rFonts w:ascii="Arial" w:hAnsi="Arial" w:cs="Arial"/>
                <w:i/>
              </w:rPr>
            </w:pPr>
            <w:r w:rsidRPr="00DF6F04">
              <w:rPr>
                <w:rFonts w:ascii="Arial" w:hAnsi="Arial" w:cs="Arial"/>
                <w:i/>
              </w:rPr>
              <w:t>Institutional investors should report periodically on their stewardship and voting activities.</w:t>
            </w:r>
          </w:p>
          <w:p w:rsidR="00A76E9D" w:rsidRPr="00DF6F04" w:rsidRDefault="00A76E9D" w:rsidP="00007D43">
            <w:pPr>
              <w:autoSpaceDE w:val="0"/>
              <w:autoSpaceDN w:val="0"/>
              <w:adjustRightInd w:val="0"/>
              <w:spacing w:before="60" w:after="60"/>
              <w:rPr>
                <w:rFonts w:ascii="Arial" w:hAnsi="Arial" w:cs="Arial"/>
                <w:i/>
              </w:rPr>
            </w:pPr>
          </w:p>
        </w:tc>
        <w:tc>
          <w:tcPr>
            <w:tcW w:w="7523" w:type="dxa"/>
            <w:gridSpan w:val="2"/>
          </w:tcPr>
          <w:p w:rsidR="00A76E9D" w:rsidRPr="00DF6F04" w:rsidRDefault="00A76E9D" w:rsidP="00007D43">
            <w:pPr>
              <w:pStyle w:val="NumberedParagraph"/>
              <w:tabs>
                <w:tab w:val="clear" w:pos="720"/>
              </w:tabs>
              <w:jc w:val="both"/>
              <w:rPr>
                <w:rFonts w:eastAsia="MS Mincho"/>
                <w:i/>
                <w:lang w:eastAsia="ja-JP"/>
              </w:rPr>
            </w:pPr>
            <w:r w:rsidRPr="00DF6F04">
              <w:rPr>
                <w:rFonts w:eastAsia="MS Mincho"/>
                <w:i/>
                <w:lang w:eastAsia="ja-JP"/>
              </w:rPr>
              <w:t xml:space="preserve">We will seek to report annually on stewardship activity through a specific section in the Funds’ annual report and accounts and on our website. </w:t>
            </w:r>
          </w:p>
          <w:p w:rsidR="00A76E9D" w:rsidRPr="008A04F2" w:rsidRDefault="00A76E9D" w:rsidP="00007D43">
            <w:pPr>
              <w:autoSpaceDE w:val="0"/>
              <w:autoSpaceDN w:val="0"/>
              <w:adjustRightInd w:val="0"/>
              <w:spacing w:before="60" w:after="60"/>
              <w:jc w:val="both"/>
              <w:rPr>
                <w:rFonts w:ascii="Arial" w:hAnsi="Arial" w:cs="Arial"/>
                <w:i/>
              </w:rPr>
            </w:pPr>
            <w:r w:rsidRPr="00DF6F04">
              <w:rPr>
                <w:rFonts w:ascii="Arial" w:hAnsi="Arial" w:cs="Arial"/>
                <w:i/>
              </w:rPr>
              <w:t>We also report annually on stewardship issues to the Pension Panel.</w:t>
            </w:r>
          </w:p>
          <w:p w:rsidR="00A76E9D" w:rsidRPr="008A04F2" w:rsidRDefault="00A76E9D" w:rsidP="00007D43">
            <w:pPr>
              <w:spacing w:before="60" w:after="60"/>
              <w:rPr>
                <w:rFonts w:ascii="Arial" w:hAnsi="Arial" w:cs="Arial"/>
                <w:i/>
              </w:rPr>
            </w:pPr>
          </w:p>
        </w:tc>
      </w:tr>
    </w:tbl>
    <w:p w:rsidR="00A76E9D" w:rsidRPr="008A04F2" w:rsidRDefault="00A76E9D" w:rsidP="00A76E9D">
      <w:pPr>
        <w:rPr>
          <w:rFonts w:ascii="Arial" w:hAnsi="Arial" w:cs="Arial"/>
          <w:i/>
        </w:rPr>
      </w:pPr>
    </w:p>
    <w:p w:rsidR="00A76E9D" w:rsidRPr="000A749C" w:rsidRDefault="00A76E9D" w:rsidP="00A76E9D">
      <w:pPr>
        <w:spacing w:after="200" w:line="276" w:lineRule="auto"/>
        <w:rPr>
          <w:rFonts w:ascii="Arial" w:hAnsi="Arial" w:cs="Arial"/>
          <w:b/>
          <w:color w:val="C00000"/>
          <w:sz w:val="22"/>
          <w:szCs w:val="22"/>
        </w:rPr>
      </w:pPr>
    </w:p>
    <w:p w:rsidR="009F1711" w:rsidRPr="00A76E9D" w:rsidRDefault="003C64A1" w:rsidP="00A76E9D">
      <w:pPr>
        <w:spacing w:after="200" w:line="276" w:lineRule="auto"/>
        <w:rPr>
          <w:rFonts w:ascii="Arial" w:hAnsi="Arial" w:cs="Arial"/>
          <w:b/>
          <w:color w:val="C00000"/>
          <w:sz w:val="22"/>
          <w:szCs w:val="22"/>
        </w:rPr>
      </w:pPr>
    </w:p>
    <w:sectPr w:rsidR="009F1711" w:rsidRPr="00A76E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C64A1">
      <w:r>
        <w:separator/>
      </w:r>
    </w:p>
  </w:endnote>
  <w:endnote w:type="continuationSeparator" w:id="0">
    <w:p w:rsidR="00000000" w:rsidRDefault="003C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Omega">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G Omega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IN-Regular">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ORupert">
    <w:altName w:val="Times New Roman"/>
    <w:charset w:val="00"/>
    <w:family w:val="auto"/>
    <w:pitch w:val="variable"/>
    <w:sig w:usb0="00000083" w:usb1="00000000" w:usb2="00000000" w:usb3="00000000" w:csb0="00000009"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927" w:rsidRDefault="003C64A1">
    <w:pPr>
      <w:pStyle w:val="Footer"/>
    </w:pPr>
  </w:p>
  <w:p w:rsidR="00833927" w:rsidRDefault="003C64A1" w:rsidP="006D2AFD">
    <w:pPr>
      <w:pStyle w:val="Footer"/>
      <w:pBdr>
        <w:bottom w:val="single" w:sz="4" w:space="1" w:color="auto"/>
      </w:pBdr>
    </w:pPr>
  </w:p>
  <w:p w:rsidR="00833927" w:rsidRDefault="00A76E9D">
    <w:pPr>
      <w:pStyle w:val="Footer"/>
    </w:pPr>
    <w:r>
      <w:t>January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C64A1">
      <w:r>
        <w:separator/>
      </w:r>
    </w:p>
  </w:footnote>
  <w:footnote w:type="continuationSeparator" w:id="0">
    <w:p w:rsidR="00000000" w:rsidRDefault="003C6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64443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9409CF"/>
    <w:multiLevelType w:val="hybridMultilevel"/>
    <w:tmpl w:val="E078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F75B8"/>
    <w:multiLevelType w:val="multilevel"/>
    <w:tmpl w:val="1F0A1E58"/>
    <w:lvl w:ilvl="0">
      <w:start w:val="1"/>
      <w:numFmt w:val="decimal"/>
      <w:lvlRestart w:val="0"/>
      <w:pStyle w:val="Heading1Num"/>
      <w:isLgl/>
      <w:lvlText w:val="%1"/>
      <w:lvlJc w:val="left"/>
      <w:pPr>
        <w:tabs>
          <w:tab w:val="num" w:pos="567"/>
        </w:tabs>
        <w:ind w:left="567" w:hanging="567"/>
      </w:pPr>
      <w:rPr>
        <w:rFonts w:hint="default"/>
        <w:b/>
        <w:color w:val="C00000"/>
      </w:rPr>
    </w:lvl>
    <w:lvl w:ilvl="1">
      <w:start w:val="1"/>
      <w:numFmt w:val="decimal"/>
      <w:pStyle w:val="Heading2Num"/>
      <w:lvlText w:val="%1.%2"/>
      <w:lvlJc w:val="left"/>
      <w:pPr>
        <w:tabs>
          <w:tab w:val="num" w:pos="567"/>
        </w:tabs>
        <w:ind w:left="567" w:hanging="567"/>
      </w:pPr>
      <w:rPr>
        <w:rFonts w:hint="default"/>
        <w:color w:val="C00000"/>
      </w:rPr>
    </w:lvl>
    <w:lvl w:ilvl="2">
      <w:start w:val="1"/>
      <w:numFmt w:val="decimal"/>
      <w:pStyle w:val="Heading3Num"/>
      <w:lvlText w:val="%1.%2.%3"/>
      <w:lvlJc w:val="left"/>
      <w:pPr>
        <w:tabs>
          <w:tab w:val="num" w:pos="567"/>
        </w:tabs>
        <w:ind w:left="567"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93571C9"/>
    <w:multiLevelType w:val="hybridMultilevel"/>
    <w:tmpl w:val="AF50150A"/>
    <w:lvl w:ilvl="0" w:tplc="8C1238CE">
      <w:start w:val="1"/>
      <w:numFmt w:val="decimal"/>
      <w:pStyle w:val="Heading2"/>
      <w:lvlText w:val="%1."/>
      <w:lvlJc w:val="left"/>
      <w:pPr>
        <w:tabs>
          <w:tab w:val="num" w:pos="1082"/>
        </w:tabs>
        <w:ind w:left="644" w:hanging="360"/>
      </w:pPr>
      <w:rPr>
        <w:rFonts w:cs="Times New Roman" w:hint="default"/>
        <w:b/>
        <w:i w:val="0"/>
        <w:sz w:val="22"/>
        <w:szCs w:val="22"/>
      </w:rPr>
    </w:lvl>
    <w:lvl w:ilvl="1" w:tplc="CF547218">
      <w:start w:val="1"/>
      <w:numFmt w:val="lowerLetter"/>
      <w:lvlText w:val="(%2)"/>
      <w:lvlJc w:val="left"/>
      <w:pPr>
        <w:tabs>
          <w:tab w:val="num" w:pos="1440"/>
        </w:tabs>
        <w:ind w:left="1440" w:hanging="360"/>
      </w:pPr>
      <w:rPr>
        <w:rFonts w:cs="Times New Roman" w:hint="default"/>
      </w:rPr>
    </w:lvl>
    <w:lvl w:ilvl="2" w:tplc="41A263B8">
      <w:start w:val="1"/>
      <w:numFmt w:val="lowerLetter"/>
      <w:lvlText w:val="%3)"/>
      <w:lvlJc w:val="left"/>
      <w:pPr>
        <w:tabs>
          <w:tab w:val="num" w:pos="2700"/>
        </w:tabs>
        <w:ind w:left="2700" w:hanging="72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B95859"/>
    <w:multiLevelType w:val="hybridMultilevel"/>
    <w:tmpl w:val="0F56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91143"/>
    <w:multiLevelType w:val="multilevel"/>
    <w:tmpl w:val="C7D6DB6A"/>
    <w:lvl w:ilvl="0">
      <w:start w:val="1"/>
      <w:numFmt w:val="decimal"/>
      <w:lvlRestart w:val="0"/>
      <w:pStyle w:val="hNumber1"/>
      <w:isLg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E266BE6"/>
    <w:multiLevelType w:val="hybridMultilevel"/>
    <w:tmpl w:val="BA30452A"/>
    <w:lvl w:ilvl="0" w:tplc="EE3C1B28">
      <w:start w:val="1"/>
      <w:numFmt w:val="bullet"/>
      <w:pStyle w:val="hBullet3"/>
      <w:lvlText w:val=""/>
      <w:lvlJc w:val="left"/>
      <w:pPr>
        <w:tabs>
          <w:tab w:val="num" w:pos="567"/>
        </w:tabs>
        <w:ind w:left="567"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A3AE0"/>
    <w:multiLevelType w:val="singleLevel"/>
    <w:tmpl w:val="293C5D72"/>
    <w:lvl w:ilvl="0">
      <w:start w:val="1"/>
      <w:numFmt w:val="decimal"/>
      <w:pStyle w:val="HRbullet"/>
      <w:lvlText w:val="%1."/>
      <w:lvlJc w:val="left"/>
      <w:pPr>
        <w:tabs>
          <w:tab w:val="num" w:pos="720"/>
        </w:tabs>
        <w:ind w:left="720" w:hanging="720"/>
      </w:pPr>
    </w:lvl>
  </w:abstractNum>
  <w:abstractNum w:abstractNumId="8" w15:restartNumberingAfterBreak="0">
    <w:nsid w:val="213A78D4"/>
    <w:multiLevelType w:val="multilevel"/>
    <w:tmpl w:val="8CFC2D3C"/>
    <w:styleLink w:val="HRNumber"/>
    <w:lvl w:ilvl="0">
      <w:start w:val="1"/>
      <w:numFmt w:val="decimal"/>
      <w:pStyle w:val="NumberHymans"/>
      <w:lvlText w:val="%1"/>
      <w:lvlJc w:val="left"/>
      <w:pPr>
        <w:ind w:left="567" w:hanging="567"/>
      </w:pPr>
      <w:rPr>
        <w:rFonts w:ascii="Arial" w:hAnsi="Arial" w:hint="default"/>
        <w:color w:val="4B4B4B"/>
        <w:sz w:val="20"/>
      </w:rPr>
    </w:lvl>
    <w:lvl w:ilvl="1">
      <w:start w:val="1"/>
      <w:numFmt w:val="decimal"/>
      <w:lvlText w:val="%1.%2"/>
      <w:lvlJc w:val="left"/>
      <w:pPr>
        <w:ind w:left="2552" w:hanging="567"/>
      </w:pPr>
      <w:rPr>
        <w:rFonts w:ascii="Arial" w:hAnsi="Arial" w:hint="default"/>
        <w:color w:val="4B4B4B"/>
        <w:sz w:val="20"/>
      </w:rPr>
    </w:lvl>
    <w:lvl w:ilvl="2">
      <w:start w:val="1"/>
      <w:numFmt w:val="decimal"/>
      <w:lvlText w:val="%1.%2.%3"/>
      <w:lvlJc w:val="left"/>
      <w:pPr>
        <w:ind w:left="1701" w:hanging="567"/>
      </w:pPr>
      <w:rPr>
        <w:rFonts w:ascii="Arial" w:hAnsi="Arial" w:hint="default"/>
        <w:color w:val="4B4B4B"/>
        <w:sz w:val="20"/>
      </w:rPr>
    </w:lvl>
    <w:lvl w:ilvl="3">
      <w:start w:val="1"/>
      <w:numFmt w:val="decimal"/>
      <w:lvlText w:val="%1.%2.%3.%4"/>
      <w:lvlJc w:val="left"/>
      <w:pPr>
        <w:ind w:left="1728" w:hanging="648"/>
      </w:pPr>
      <w:rPr>
        <w:rFonts w:ascii="Arial" w:hAnsi="Arial" w:hint="default"/>
        <w:color w:val="auto"/>
        <w:sz w:val="20"/>
      </w:rPr>
    </w:lvl>
    <w:lvl w:ilvl="4">
      <w:start w:val="1"/>
      <w:numFmt w:val="decimal"/>
      <w:lvlText w:val="%1.%2.%3.%4.%5"/>
      <w:lvlJc w:val="left"/>
      <w:pPr>
        <w:ind w:left="2232" w:hanging="792"/>
      </w:pPr>
      <w:rPr>
        <w:rFonts w:ascii="Arial" w:hAnsi="Arial" w:hint="default"/>
        <w:color w:val="auto"/>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762208"/>
    <w:multiLevelType w:val="hybridMultilevel"/>
    <w:tmpl w:val="C7E2D4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14638"/>
    <w:multiLevelType w:val="hybridMultilevel"/>
    <w:tmpl w:val="4E6E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A7849"/>
    <w:multiLevelType w:val="hybridMultilevel"/>
    <w:tmpl w:val="AA7836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6416CD"/>
    <w:multiLevelType w:val="hybridMultilevel"/>
    <w:tmpl w:val="CAB4009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FC4C7D"/>
    <w:multiLevelType w:val="hybridMultilevel"/>
    <w:tmpl w:val="4B2EB0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1F41E6"/>
    <w:multiLevelType w:val="multilevel"/>
    <w:tmpl w:val="4D8A0410"/>
    <w:styleLink w:val="HRBullet0"/>
    <w:lvl w:ilvl="0">
      <w:start w:val="1"/>
      <w:numFmt w:val="bullet"/>
      <w:pStyle w:val="BulletHymans"/>
      <w:lvlText w:val=""/>
      <w:lvlJc w:val="left"/>
      <w:pPr>
        <w:ind w:left="1362" w:hanging="567"/>
      </w:pPr>
      <w:rPr>
        <w:rFonts w:ascii="Symbol" w:hAnsi="Symbol" w:hint="default"/>
        <w:color w:val="4B4B4B"/>
        <w:sz w:val="20"/>
      </w:rPr>
    </w:lvl>
    <w:lvl w:ilvl="1">
      <w:start w:val="1"/>
      <w:numFmt w:val="none"/>
      <w:lvlText w:val="%2-"/>
      <w:lvlJc w:val="left"/>
      <w:pPr>
        <w:ind w:left="1929" w:hanging="567"/>
      </w:pPr>
      <w:rPr>
        <w:rFonts w:hint="default"/>
        <w:color w:val="4B4B4B"/>
        <w:sz w:val="20"/>
      </w:rPr>
    </w:lvl>
    <w:lvl w:ilvl="2">
      <w:start w:val="1"/>
      <w:numFmt w:val="bullet"/>
      <w:lvlText w:val=""/>
      <w:lvlJc w:val="left"/>
      <w:pPr>
        <w:ind w:left="2496" w:hanging="567"/>
      </w:pPr>
      <w:rPr>
        <w:rFonts w:ascii="Symbol" w:hAnsi="Symbol" w:hint="default"/>
        <w:color w:val="4B4B4B"/>
      </w:rPr>
    </w:lvl>
    <w:lvl w:ilvl="3">
      <w:start w:val="1"/>
      <w:numFmt w:val="none"/>
      <w:lvlText w:val="-"/>
      <w:lvlJc w:val="left"/>
      <w:pPr>
        <w:ind w:left="2496" w:hanging="567"/>
      </w:pPr>
      <w:rPr>
        <w:rFonts w:hint="default"/>
        <w:color w:val="auto"/>
      </w:rPr>
    </w:lvl>
    <w:lvl w:ilvl="4">
      <w:start w:val="1"/>
      <w:numFmt w:val="lowerLetter"/>
      <w:lvlText w:val="(%5)"/>
      <w:lvlJc w:val="left"/>
      <w:pPr>
        <w:ind w:left="2595" w:hanging="360"/>
      </w:pPr>
      <w:rPr>
        <w:rFonts w:hint="default"/>
      </w:rPr>
    </w:lvl>
    <w:lvl w:ilvl="5">
      <w:start w:val="1"/>
      <w:numFmt w:val="lowerRoman"/>
      <w:lvlText w:val="(%6)"/>
      <w:lvlJc w:val="left"/>
      <w:pPr>
        <w:ind w:left="2955" w:hanging="360"/>
      </w:pPr>
      <w:rPr>
        <w:rFonts w:hint="default"/>
      </w:rPr>
    </w:lvl>
    <w:lvl w:ilvl="6">
      <w:start w:val="1"/>
      <w:numFmt w:val="decimal"/>
      <w:lvlText w:val="%7."/>
      <w:lvlJc w:val="left"/>
      <w:pPr>
        <w:ind w:left="3315" w:hanging="360"/>
      </w:pPr>
      <w:rPr>
        <w:rFonts w:hint="default"/>
      </w:rPr>
    </w:lvl>
    <w:lvl w:ilvl="7">
      <w:start w:val="1"/>
      <w:numFmt w:val="lowerLetter"/>
      <w:lvlText w:val="%8."/>
      <w:lvlJc w:val="left"/>
      <w:pPr>
        <w:ind w:left="3675" w:hanging="360"/>
      </w:pPr>
      <w:rPr>
        <w:rFonts w:hint="default"/>
      </w:rPr>
    </w:lvl>
    <w:lvl w:ilvl="8">
      <w:start w:val="1"/>
      <w:numFmt w:val="lowerRoman"/>
      <w:lvlText w:val="%9."/>
      <w:lvlJc w:val="left"/>
      <w:pPr>
        <w:ind w:left="4035" w:hanging="360"/>
      </w:pPr>
      <w:rPr>
        <w:rFonts w:hint="default"/>
      </w:rPr>
    </w:lvl>
  </w:abstractNum>
  <w:abstractNum w:abstractNumId="15" w15:restartNumberingAfterBreak="0">
    <w:nsid w:val="3C7C24C6"/>
    <w:multiLevelType w:val="hybridMultilevel"/>
    <w:tmpl w:val="016009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5B68A9"/>
    <w:multiLevelType w:val="hybridMultilevel"/>
    <w:tmpl w:val="ECDE9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DD1960"/>
    <w:multiLevelType w:val="hybridMultilevel"/>
    <w:tmpl w:val="3B64D1EA"/>
    <w:lvl w:ilvl="0" w:tplc="13589C44">
      <w:start w:val="1"/>
      <w:numFmt w:val="bullet"/>
      <w:pStyle w:val="Bullet1"/>
      <w:lvlText w:val="■"/>
      <w:lvlJc w:val="left"/>
      <w:pPr>
        <w:tabs>
          <w:tab w:val="num" w:pos="397"/>
        </w:tabs>
        <w:ind w:left="397" w:hanging="397"/>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AE65E6"/>
    <w:multiLevelType w:val="multilevel"/>
    <w:tmpl w:val="8CFC2D3C"/>
    <w:numStyleLink w:val="HRNumber"/>
  </w:abstractNum>
  <w:abstractNum w:abstractNumId="19" w15:restartNumberingAfterBreak="0">
    <w:nsid w:val="5FE761BF"/>
    <w:multiLevelType w:val="hybridMultilevel"/>
    <w:tmpl w:val="31CC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7945A6"/>
    <w:multiLevelType w:val="multilevel"/>
    <w:tmpl w:val="B538BD02"/>
    <w:lvl w:ilvl="0">
      <w:start w:val="1"/>
      <w:numFmt w:val="bullet"/>
      <w:lvlRestart w:val="0"/>
      <w:pStyle w:val="hBullets"/>
      <w:lvlText w:val=""/>
      <w:lvlJc w:val="left"/>
      <w:pPr>
        <w:tabs>
          <w:tab w:val="num" w:pos="567"/>
        </w:tabs>
        <w:ind w:left="567" w:hanging="567"/>
      </w:pPr>
      <w:rPr>
        <w:rFonts w:ascii="Symbol" w:hAnsi="Symbol" w:hint="default"/>
        <w:b w:val="0"/>
        <w:i w:val="0"/>
        <w:color w:val="4B4B4B"/>
        <w:sz w:val="20"/>
        <w:szCs w:val="20"/>
      </w:rPr>
    </w:lvl>
    <w:lvl w:ilvl="1">
      <w:start w:val="1"/>
      <w:numFmt w:val="bullet"/>
      <w:lvlText w:val="-"/>
      <w:lvlJc w:val="left"/>
      <w:pPr>
        <w:tabs>
          <w:tab w:val="num" w:pos="1134"/>
        </w:tabs>
        <w:ind w:left="1134" w:hanging="567"/>
      </w:pPr>
      <w:rPr>
        <w:rFonts w:ascii="Arial" w:hAnsi="Arial" w:hint="default"/>
        <w:b w:val="0"/>
        <w:i w:val="0"/>
        <w:color w:val="4B4B4B"/>
        <w:sz w:val="20"/>
        <w:szCs w:val="20"/>
      </w:rPr>
    </w:lvl>
    <w:lvl w:ilvl="2">
      <w:start w:val="1"/>
      <w:numFmt w:val="bullet"/>
      <w:lvlText w:val=""/>
      <w:lvlJc w:val="left"/>
      <w:pPr>
        <w:tabs>
          <w:tab w:val="num" w:pos="1701"/>
        </w:tabs>
        <w:ind w:left="1701" w:hanging="567"/>
      </w:pPr>
      <w:rPr>
        <w:rFonts w:ascii="Symbol" w:hAnsi="Symbol" w:hint="default"/>
        <w:b w:val="0"/>
        <w:i w:val="0"/>
        <w:color w:val="4B4B4B"/>
        <w:sz w:val="20"/>
        <w:szCs w:val="20"/>
      </w:rPr>
    </w:lvl>
    <w:lvl w:ilvl="3">
      <w:start w:val="1"/>
      <w:numFmt w:val="bullet"/>
      <w:lvlText w:val=""/>
      <w:lvlJc w:val="left"/>
      <w:pPr>
        <w:tabs>
          <w:tab w:val="num" w:pos="2835"/>
        </w:tabs>
        <w:ind w:left="2835" w:hanging="567"/>
      </w:pPr>
      <w:rPr>
        <w:rFonts w:ascii="Symbol" w:hAnsi="Symbol" w:hint="default"/>
        <w:b w:val="0"/>
        <w:i w:val="0"/>
        <w:color w:val="auto"/>
        <w:sz w:val="22"/>
      </w:rPr>
    </w:lvl>
    <w:lvl w:ilvl="4">
      <w:start w:val="1"/>
      <w:numFmt w:val="bullet"/>
      <w:lvlText w:val="·"/>
      <w:lvlJc w:val="left"/>
      <w:pPr>
        <w:tabs>
          <w:tab w:val="num" w:pos="1418"/>
        </w:tabs>
        <w:ind w:left="1418" w:hanging="567"/>
      </w:pPr>
      <w:rPr>
        <w:rFonts w:ascii="Symbol" w:hAnsi="Symbol" w:hint="default"/>
        <w:b w:val="0"/>
        <w:i w:val="0"/>
        <w:color w:val="auto"/>
        <w:sz w:val="22"/>
      </w:rPr>
    </w:lvl>
    <w:lvl w:ilvl="5">
      <w:start w:val="1"/>
      <w:numFmt w:val="bullet"/>
      <w:lvlText w:val="·"/>
      <w:lvlJc w:val="left"/>
      <w:pPr>
        <w:tabs>
          <w:tab w:val="num" w:pos="1985"/>
        </w:tabs>
        <w:ind w:left="1985" w:hanging="567"/>
      </w:pPr>
      <w:rPr>
        <w:rFonts w:ascii="Symbol" w:hAnsi="Symbol" w:hint="default"/>
        <w:b w:val="0"/>
        <w:i w:val="0"/>
        <w:color w:val="auto"/>
        <w:sz w:val="22"/>
      </w:rPr>
    </w:lvl>
    <w:lvl w:ilvl="6">
      <w:start w:val="1"/>
      <w:numFmt w:val="bullet"/>
      <w:lvlRestart w:val="0"/>
      <w:lvlText w:val="·"/>
      <w:lvlJc w:val="left"/>
      <w:pPr>
        <w:tabs>
          <w:tab w:val="num" w:pos="851"/>
        </w:tabs>
        <w:ind w:left="851" w:hanging="851"/>
      </w:pPr>
      <w:rPr>
        <w:rFonts w:ascii="Symbol" w:hAnsi="Symbol" w:hint="default"/>
        <w:b w:val="0"/>
        <w:i w:val="0"/>
        <w:color w:val="auto"/>
        <w:sz w:val="22"/>
      </w:rPr>
    </w:lvl>
    <w:lvl w:ilvl="7">
      <w:start w:val="1"/>
      <w:numFmt w:val="bullet"/>
      <w:lvlRestart w:val="0"/>
      <w:lvlText w:val="·"/>
      <w:lvlJc w:val="left"/>
      <w:pPr>
        <w:tabs>
          <w:tab w:val="num" w:pos="1418"/>
        </w:tabs>
        <w:ind w:left="1418" w:hanging="567"/>
      </w:pPr>
      <w:rPr>
        <w:rFonts w:ascii="Symbol" w:hAnsi="Symbol" w:hint="default"/>
        <w:b w:val="0"/>
        <w:i w:val="0"/>
        <w:color w:val="auto"/>
        <w:sz w:val="22"/>
      </w:rPr>
    </w:lvl>
    <w:lvl w:ilvl="8">
      <w:start w:val="1"/>
      <w:numFmt w:val="bullet"/>
      <w:lvlText w:val="·"/>
      <w:lvlJc w:val="left"/>
      <w:pPr>
        <w:tabs>
          <w:tab w:val="num" w:pos="1985"/>
        </w:tabs>
        <w:ind w:left="1985" w:hanging="567"/>
      </w:pPr>
      <w:rPr>
        <w:rFonts w:ascii="Symbol" w:hAnsi="Symbol" w:hint="default"/>
        <w:b w:val="0"/>
        <w:i w:val="0"/>
        <w:color w:val="auto"/>
        <w:sz w:val="22"/>
      </w:rPr>
    </w:lvl>
  </w:abstractNum>
  <w:abstractNum w:abstractNumId="21" w15:restartNumberingAfterBreak="0">
    <w:nsid w:val="700E2211"/>
    <w:multiLevelType w:val="hybridMultilevel"/>
    <w:tmpl w:val="5A747B5E"/>
    <w:lvl w:ilvl="0" w:tplc="37F066BE">
      <w:start w:val="1"/>
      <w:numFmt w:val="decimal"/>
      <w:pStyle w:val="TenderQuestion"/>
      <w:lvlText w:val="Q%1."/>
      <w:lvlJc w:val="left"/>
      <w:pPr>
        <w:ind w:left="720" w:hanging="360"/>
      </w:pPr>
      <w:rPr>
        <w:rFonts w:hint="default"/>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E60703"/>
    <w:multiLevelType w:val="hybridMultilevel"/>
    <w:tmpl w:val="CD34D4FE"/>
    <w:lvl w:ilvl="0" w:tplc="9996866E">
      <w:start w:val="1"/>
      <w:numFmt w:val="lowerLetter"/>
      <w:lvlText w:val="(%1)"/>
      <w:lvlJc w:val="left"/>
      <w:pPr>
        <w:tabs>
          <w:tab w:val="num" w:pos="435"/>
        </w:tabs>
        <w:ind w:left="435" w:hanging="435"/>
      </w:pPr>
      <w:rPr>
        <w:rFonts w:hint="default"/>
      </w:rPr>
    </w:lvl>
    <w:lvl w:ilvl="1" w:tplc="AB788CEE">
      <w:start w:val="1"/>
      <w:numFmt w:val="decimal"/>
      <w:lvlText w:val="%2)"/>
      <w:lvlJc w:val="left"/>
      <w:pPr>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767825E7"/>
    <w:multiLevelType w:val="multilevel"/>
    <w:tmpl w:val="567E87DA"/>
    <w:lvl w:ilvl="0">
      <w:start w:val="1"/>
      <w:numFmt w:val="bullet"/>
      <w:pStyle w:val="hBullet1"/>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418"/>
        </w:tabs>
        <w:ind w:left="1418" w:hanging="567"/>
      </w:pPr>
      <w:rPr>
        <w:rFonts w:ascii="Symbol" w:hAnsi="Symbol" w:hint="default"/>
        <w:color w:val="auto"/>
      </w:rPr>
    </w:lvl>
    <w:lvl w:ilvl="2">
      <w:start w:val="1"/>
      <w:numFmt w:val="bullet"/>
      <w:lvlText w:val="·"/>
      <w:lvlJc w:val="left"/>
      <w:pPr>
        <w:tabs>
          <w:tab w:val="num" w:pos="1985"/>
        </w:tabs>
        <w:ind w:left="1985" w:hanging="567"/>
      </w:pPr>
      <w:rPr>
        <w:rFonts w:ascii="Symbol" w:hAnsi="Symbol" w:hint="default"/>
        <w:color w:val="auto"/>
      </w:rPr>
    </w:lvl>
    <w:lvl w:ilvl="3">
      <w:start w:val="1"/>
      <w:numFmt w:val="bullet"/>
      <w:lvlText w:val="·"/>
      <w:lvlJc w:val="left"/>
      <w:pPr>
        <w:tabs>
          <w:tab w:val="num" w:pos="1418"/>
        </w:tabs>
        <w:ind w:left="1418" w:hanging="567"/>
      </w:pPr>
      <w:rPr>
        <w:rFonts w:ascii="Symbol" w:hAnsi="Symbol" w:hint="default"/>
        <w:color w:val="auto"/>
      </w:rPr>
    </w:lvl>
    <w:lvl w:ilvl="4">
      <w:start w:val="1"/>
      <w:numFmt w:val="bullet"/>
      <w:lvlText w:val="·"/>
      <w:lvlJc w:val="left"/>
      <w:pPr>
        <w:tabs>
          <w:tab w:val="num" w:pos="851"/>
        </w:tabs>
        <w:ind w:left="851" w:hanging="851"/>
      </w:pPr>
      <w:rPr>
        <w:rFonts w:ascii="Symbol" w:hAnsi="Symbol"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77B22D4B"/>
    <w:multiLevelType w:val="hybridMultilevel"/>
    <w:tmpl w:val="8708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E803A7"/>
    <w:multiLevelType w:val="hybridMultilevel"/>
    <w:tmpl w:val="12C68C94"/>
    <w:lvl w:ilvl="0" w:tplc="E424C0AC">
      <w:start w:val="1"/>
      <w:numFmt w:val="bullet"/>
      <w:pStyle w:val="hBullet2"/>
      <w:lvlText w:val=""/>
      <w:lvlJc w:val="left"/>
      <w:pPr>
        <w:tabs>
          <w:tab w:val="num" w:pos="1418"/>
        </w:tabs>
        <w:ind w:left="1418" w:hanging="56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7"/>
  </w:num>
  <w:num w:numId="3">
    <w:abstractNumId w:val="0"/>
  </w:num>
  <w:num w:numId="4">
    <w:abstractNumId w:val="7"/>
  </w:num>
  <w:num w:numId="5">
    <w:abstractNumId w:val="6"/>
  </w:num>
  <w:num w:numId="6">
    <w:abstractNumId w:val="14"/>
  </w:num>
  <w:num w:numId="7">
    <w:abstractNumId w:val="19"/>
  </w:num>
  <w:num w:numId="8">
    <w:abstractNumId w:val="10"/>
  </w:num>
  <w:num w:numId="9">
    <w:abstractNumId w:val="4"/>
  </w:num>
  <w:num w:numId="10">
    <w:abstractNumId w:val="24"/>
  </w:num>
  <w:num w:numId="11">
    <w:abstractNumId w:val="16"/>
  </w:num>
  <w:num w:numId="12">
    <w:abstractNumId w:val="22"/>
  </w:num>
  <w:num w:numId="13">
    <w:abstractNumId w:val="8"/>
  </w:num>
  <w:num w:numId="14">
    <w:abstractNumId w:val="18"/>
    <w:lvlOverride w:ilvl="0">
      <w:lvl w:ilvl="0">
        <w:start w:val="1"/>
        <w:numFmt w:val="decimal"/>
        <w:pStyle w:val="NumberHymans"/>
        <w:lvlText w:val="%1"/>
        <w:lvlJc w:val="left"/>
        <w:pPr>
          <w:ind w:left="567" w:hanging="567"/>
        </w:pPr>
        <w:rPr>
          <w:rFonts w:ascii="Arial" w:hAnsi="Arial" w:hint="default"/>
          <w:color w:val="F06A00"/>
          <w:sz w:val="20"/>
        </w:rPr>
      </w:lvl>
    </w:lvlOverride>
    <w:lvlOverride w:ilvl="1">
      <w:lvl w:ilvl="1">
        <w:start w:val="1"/>
        <w:numFmt w:val="decimal"/>
        <w:lvlText w:val="%1.%2"/>
        <w:lvlJc w:val="left"/>
        <w:pPr>
          <w:ind w:left="2552" w:hanging="567"/>
        </w:pPr>
        <w:rPr>
          <w:rFonts w:ascii="Arial" w:hAnsi="Arial" w:hint="default"/>
          <w:b/>
          <w:color w:val="3FA6CC"/>
          <w:sz w:val="20"/>
        </w:rPr>
      </w:lvl>
    </w:lvlOverride>
  </w:num>
  <w:num w:numId="15">
    <w:abstractNumId w:val="1"/>
  </w:num>
  <w:num w:numId="16">
    <w:abstractNumId w:val="25"/>
  </w:num>
  <w:num w:numId="17">
    <w:abstractNumId w:val="23"/>
  </w:num>
  <w:num w:numId="18">
    <w:abstractNumId w:val="20"/>
  </w:num>
  <w:num w:numId="19">
    <w:abstractNumId w:val="5"/>
  </w:num>
  <w:num w:numId="20">
    <w:abstractNumId w:val="21"/>
  </w:num>
  <w:num w:numId="21">
    <w:abstractNumId w:val="2"/>
  </w:num>
  <w:num w:numId="22">
    <w:abstractNumId w:val="12"/>
  </w:num>
  <w:num w:numId="23">
    <w:abstractNumId w:val="9"/>
  </w:num>
  <w:num w:numId="24">
    <w:abstractNumId w:val="11"/>
  </w:num>
  <w:num w:numId="25">
    <w:abstractNumId w:val="15"/>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9D"/>
    <w:rsid w:val="0034769F"/>
    <w:rsid w:val="003C64A1"/>
    <w:rsid w:val="00933F68"/>
    <w:rsid w:val="00A76E9D"/>
    <w:rsid w:val="00ED0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2382D-DFDD-4E43-8A5D-4593FB88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E9D"/>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HR1 Char"/>
    <w:basedOn w:val="Normal"/>
    <w:next w:val="Normal"/>
    <w:link w:val="Heading1Char"/>
    <w:uiPriority w:val="9"/>
    <w:qFormat/>
    <w:rsid w:val="00A76E9D"/>
    <w:pPr>
      <w:keepNext/>
      <w:spacing w:before="240" w:after="60"/>
      <w:outlineLvl w:val="0"/>
    </w:pPr>
    <w:rPr>
      <w:rFonts w:ascii="Cambria" w:hAnsi="Cambria"/>
      <w:b/>
      <w:bCs/>
      <w:kern w:val="32"/>
      <w:sz w:val="32"/>
      <w:szCs w:val="32"/>
      <w:lang w:eastAsia="en-US"/>
    </w:rPr>
  </w:style>
  <w:style w:type="paragraph" w:styleId="Heading2">
    <w:name w:val="heading 2"/>
    <w:basedOn w:val="Normal"/>
    <w:next w:val="Normal"/>
    <w:link w:val="Heading2Char"/>
    <w:uiPriority w:val="99"/>
    <w:qFormat/>
    <w:rsid w:val="00A76E9D"/>
    <w:pPr>
      <w:keepNext/>
      <w:numPr>
        <w:numId w:val="1"/>
      </w:numPr>
      <w:tabs>
        <w:tab w:val="clear" w:pos="1082"/>
        <w:tab w:val="num" w:pos="798"/>
      </w:tabs>
      <w:ind w:left="360"/>
      <w:outlineLvl w:val="1"/>
    </w:pPr>
    <w:rPr>
      <w:rFonts w:ascii="CG Omega" w:hAnsi="CG Omega"/>
      <w:b/>
      <w:szCs w:val="20"/>
      <w:lang w:eastAsia="en-US"/>
    </w:rPr>
  </w:style>
  <w:style w:type="paragraph" w:styleId="Heading3">
    <w:name w:val="heading 3"/>
    <w:basedOn w:val="Normal"/>
    <w:next w:val="Normal"/>
    <w:link w:val="Heading3Char"/>
    <w:uiPriority w:val="99"/>
    <w:unhideWhenUsed/>
    <w:qFormat/>
    <w:rsid w:val="00A76E9D"/>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A76E9D"/>
    <w:pPr>
      <w:keepNext/>
      <w:keepLines/>
      <w:spacing w:before="200" w:line="276" w:lineRule="auto"/>
      <w:outlineLvl w:val="3"/>
    </w:pPr>
    <w:rPr>
      <w:rFonts w:asciiTheme="majorHAnsi" w:eastAsiaTheme="majorEastAsia" w:hAnsiTheme="majorHAnsi" w:cstheme="majorBidi"/>
      <w:b/>
      <w:bCs/>
      <w:i/>
      <w:iCs/>
      <w:color w:val="4472C4" w:themeColor="accent1"/>
      <w:sz w:val="22"/>
      <w:szCs w:val="22"/>
      <w:lang w:eastAsia="en-US"/>
    </w:rPr>
  </w:style>
  <w:style w:type="paragraph" w:styleId="Heading5">
    <w:name w:val="heading 5"/>
    <w:aliases w:val="Briefing note heading"/>
    <w:basedOn w:val="Normal"/>
    <w:next w:val="Normal"/>
    <w:link w:val="Heading5Char"/>
    <w:qFormat/>
    <w:rsid w:val="00A76E9D"/>
    <w:pPr>
      <w:spacing w:before="240" w:after="60"/>
      <w:outlineLvl w:val="4"/>
    </w:pPr>
    <w:rPr>
      <w:rFonts w:ascii="Arial" w:hAnsi="Arial"/>
      <w:b/>
      <w:sz w:val="20"/>
      <w:szCs w:val="20"/>
      <w:lang w:eastAsia="en-US"/>
    </w:rPr>
  </w:style>
  <w:style w:type="paragraph" w:styleId="Heading6">
    <w:name w:val="heading 6"/>
    <w:basedOn w:val="Normal"/>
    <w:next w:val="Normal"/>
    <w:link w:val="Heading6Char"/>
    <w:qFormat/>
    <w:rsid w:val="00A76E9D"/>
    <w:pPr>
      <w:spacing w:before="240" w:after="60"/>
      <w:outlineLvl w:val="5"/>
    </w:pPr>
    <w:rPr>
      <w:b/>
      <w:i/>
      <w:sz w:val="22"/>
      <w:szCs w:val="20"/>
      <w:lang w:eastAsia="en-US"/>
    </w:rPr>
  </w:style>
  <w:style w:type="paragraph" w:styleId="Heading7">
    <w:name w:val="heading 7"/>
    <w:basedOn w:val="Normal"/>
    <w:next w:val="Normal"/>
    <w:link w:val="Heading7Char"/>
    <w:qFormat/>
    <w:rsid w:val="00A76E9D"/>
    <w:pPr>
      <w:spacing w:before="240" w:after="60"/>
      <w:outlineLvl w:val="6"/>
    </w:pPr>
    <w:rPr>
      <w:rFonts w:ascii="Arial" w:hAnsi="Arial"/>
      <w:b/>
      <w:sz w:val="20"/>
      <w:szCs w:val="20"/>
      <w:lang w:eastAsia="en-US"/>
    </w:rPr>
  </w:style>
  <w:style w:type="paragraph" w:styleId="Heading8">
    <w:name w:val="heading 8"/>
    <w:basedOn w:val="Normal"/>
    <w:next w:val="Normal"/>
    <w:link w:val="Heading8Char"/>
    <w:qFormat/>
    <w:rsid w:val="00A76E9D"/>
    <w:pPr>
      <w:spacing w:before="240" w:after="60"/>
      <w:outlineLvl w:val="7"/>
    </w:pPr>
    <w:rPr>
      <w:rFonts w:ascii="Arial" w:hAnsi="Arial"/>
      <w:b/>
      <w:i/>
      <w:sz w:val="20"/>
      <w:szCs w:val="20"/>
      <w:lang w:eastAsia="en-US"/>
    </w:rPr>
  </w:style>
  <w:style w:type="paragraph" w:styleId="Heading9">
    <w:name w:val="heading 9"/>
    <w:basedOn w:val="Normal"/>
    <w:next w:val="Normal"/>
    <w:link w:val="Heading9Char"/>
    <w:qFormat/>
    <w:rsid w:val="00A76E9D"/>
    <w:p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R1 Char Char1"/>
    <w:basedOn w:val="DefaultParagraphFont"/>
    <w:link w:val="Heading1"/>
    <w:uiPriority w:val="9"/>
    <w:rsid w:val="00A76E9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76E9D"/>
    <w:rPr>
      <w:rFonts w:ascii="CG Omega" w:eastAsia="Times New Roman" w:hAnsi="CG Omega" w:cs="Times New Roman"/>
      <w:b/>
      <w:sz w:val="24"/>
      <w:szCs w:val="20"/>
    </w:rPr>
  </w:style>
  <w:style w:type="character" w:customStyle="1" w:styleId="Heading3Char">
    <w:name w:val="Heading 3 Char"/>
    <w:basedOn w:val="DefaultParagraphFont"/>
    <w:link w:val="Heading3"/>
    <w:uiPriority w:val="99"/>
    <w:rsid w:val="00A76E9D"/>
    <w:rPr>
      <w:rFonts w:ascii="Cambria" w:eastAsia="Times New Roman" w:hAnsi="Cambria" w:cs="Times New Roman"/>
      <w:b/>
      <w:bCs/>
      <w:color w:val="4F81BD"/>
      <w:sz w:val="24"/>
      <w:szCs w:val="24"/>
      <w:lang w:eastAsia="en-GB"/>
    </w:rPr>
  </w:style>
  <w:style w:type="character" w:customStyle="1" w:styleId="Heading4Char">
    <w:name w:val="Heading 4 Char"/>
    <w:basedOn w:val="DefaultParagraphFont"/>
    <w:link w:val="Heading4"/>
    <w:rsid w:val="00A76E9D"/>
    <w:rPr>
      <w:rFonts w:asciiTheme="majorHAnsi" w:eastAsiaTheme="majorEastAsia" w:hAnsiTheme="majorHAnsi" w:cstheme="majorBidi"/>
      <w:b/>
      <w:bCs/>
      <w:i/>
      <w:iCs/>
      <w:color w:val="4472C4" w:themeColor="accent1"/>
    </w:rPr>
  </w:style>
  <w:style w:type="character" w:customStyle="1" w:styleId="Heading5Char">
    <w:name w:val="Heading 5 Char"/>
    <w:aliases w:val="Briefing note heading Char"/>
    <w:basedOn w:val="DefaultParagraphFont"/>
    <w:link w:val="Heading5"/>
    <w:rsid w:val="00A76E9D"/>
    <w:rPr>
      <w:rFonts w:ascii="Arial" w:eastAsia="Times New Roman" w:hAnsi="Arial" w:cs="Times New Roman"/>
      <w:b/>
      <w:sz w:val="20"/>
      <w:szCs w:val="20"/>
    </w:rPr>
  </w:style>
  <w:style w:type="character" w:customStyle="1" w:styleId="Heading6Char">
    <w:name w:val="Heading 6 Char"/>
    <w:basedOn w:val="DefaultParagraphFont"/>
    <w:link w:val="Heading6"/>
    <w:rsid w:val="00A76E9D"/>
    <w:rPr>
      <w:rFonts w:ascii="Times New Roman" w:eastAsia="Times New Roman" w:hAnsi="Times New Roman" w:cs="Times New Roman"/>
      <w:b/>
      <w:i/>
      <w:szCs w:val="20"/>
    </w:rPr>
  </w:style>
  <w:style w:type="character" w:customStyle="1" w:styleId="Heading7Char">
    <w:name w:val="Heading 7 Char"/>
    <w:basedOn w:val="DefaultParagraphFont"/>
    <w:link w:val="Heading7"/>
    <w:rsid w:val="00A76E9D"/>
    <w:rPr>
      <w:rFonts w:ascii="Arial" w:eastAsia="Times New Roman" w:hAnsi="Arial" w:cs="Times New Roman"/>
      <w:b/>
      <w:sz w:val="20"/>
      <w:szCs w:val="20"/>
    </w:rPr>
  </w:style>
  <w:style w:type="character" w:customStyle="1" w:styleId="Heading8Char">
    <w:name w:val="Heading 8 Char"/>
    <w:basedOn w:val="DefaultParagraphFont"/>
    <w:link w:val="Heading8"/>
    <w:rsid w:val="00A76E9D"/>
    <w:rPr>
      <w:rFonts w:ascii="Arial" w:eastAsia="Times New Roman" w:hAnsi="Arial" w:cs="Times New Roman"/>
      <w:b/>
      <w:i/>
      <w:sz w:val="20"/>
      <w:szCs w:val="20"/>
    </w:rPr>
  </w:style>
  <w:style w:type="character" w:customStyle="1" w:styleId="Heading9Char">
    <w:name w:val="Heading 9 Char"/>
    <w:basedOn w:val="DefaultParagraphFont"/>
    <w:link w:val="Heading9"/>
    <w:rsid w:val="00A76E9D"/>
    <w:rPr>
      <w:rFonts w:ascii="Arial" w:eastAsia="Times New Roman" w:hAnsi="Arial" w:cs="Times New Roman"/>
      <w:b/>
      <w:i/>
      <w:sz w:val="18"/>
      <w:szCs w:val="20"/>
    </w:rPr>
  </w:style>
  <w:style w:type="paragraph" w:styleId="BodyTextIndent">
    <w:name w:val="Body Text Indent"/>
    <w:basedOn w:val="Normal"/>
    <w:link w:val="BodyTextIndentChar"/>
    <w:uiPriority w:val="99"/>
    <w:rsid w:val="00A76E9D"/>
    <w:pPr>
      <w:spacing w:after="120"/>
      <w:ind w:left="283"/>
    </w:pPr>
    <w:rPr>
      <w:rFonts w:ascii="CG Omega (W1)" w:hAnsi="CG Omega (W1)"/>
      <w:szCs w:val="20"/>
      <w:lang w:eastAsia="en-US"/>
    </w:rPr>
  </w:style>
  <w:style w:type="character" w:customStyle="1" w:styleId="BodyTextIndentChar">
    <w:name w:val="Body Text Indent Char"/>
    <w:basedOn w:val="DefaultParagraphFont"/>
    <w:link w:val="BodyTextIndent"/>
    <w:uiPriority w:val="99"/>
    <w:rsid w:val="00A76E9D"/>
    <w:rPr>
      <w:rFonts w:ascii="CG Omega (W1)" w:eastAsia="Times New Roman" w:hAnsi="CG Omega (W1)" w:cs="Times New Roman"/>
      <w:sz w:val="24"/>
      <w:szCs w:val="20"/>
    </w:rPr>
  </w:style>
  <w:style w:type="paragraph" w:styleId="BodyText">
    <w:name w:val="Body Text"/>
    <w:basedOn w:val="Normal"/>
    <w:link w:val="BodyTextChar"/>
    <w:uiPriority w:val="99"/>
    <w:rsid w:val="00A76E9D"/>
    <w:pPr>
      <w:spacing w:after="120"/>
    </w:pPr>
    <w:rPr>
      <w:rFonts w:ascii="CG Omega" w:hAnsi="CG Omega"/>
      <w:szCs w:val="20"/>
      <w:lang w:eastAsia="en-US"/>
    </w:rPr>
  </w:style>
  <w:style w:type="character" w:customStyle="1" w:styleId="BodyTextChar">
    <w:name w:val="Body Text Char"/>
    <w:basedOn w:val="DefaultParagraphFont"/>
    <w:link w:val="BodyText"/>
    <w:uiPriority w:val="99"/>
    <w:rsid w:val="00A76E9D"/>
    <w:rPr>
      <w:rFonts w:ascii="CG Omega" w:eastAsia="Times New Roman" w:hAnsi="CG Omega" w:cs="Times New Roman"/>
      <w:sz w:val="24"/>
      <w:szCs w:val="20"/>
    </w:rPr>
  </w:style>
  <w:style w:type="table" w:styleId="TableGrid">
    <w:name w:val="Table Grid"/>
    <w:aliases w:val="Table Beige/white"/>
    <w:basedOn w:val="TableNormal"/>
    <w:uiPriority w:val="99"/>
    <w:rsid w:val="00A76E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76E9D"/>
    <w:pPr>
      <w:tabs>
        <w:tab w:val="center" w:pos="4513"/>
        <w:tab w:val="right" w:pos="9026"/>
      </w:tabs>
    </w:pPr>
  </w:style>
  <w:style w:type="character" w:customStyle="1" w:styleId="HeaderChar">
    <w:name w:val="Header Char"/>
    <w:basedOn w:val="DefaultParagraphFont"/>
    <w:link w:val="Header"/>
    <w:uiPriority w:val="99"/>
    <w:rsid w:val="00A76E9D"/>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A76E9D"/>
    <w:pPr>
      <w:tabs>
        <w:tab w:val="center" w:pos="4344"/>
      </w:tabs>
    </w:pPr>
    <w:rPr>
      <w:rFonts w:ascii="Arial" w:hAnsi="Arial" w:cs="Arial"/>
      <w:i/>
      <w:sz w:val="22"/>
      <w:szCs w:val="22"/>
    </w:rPr>
  </w:style>
  <w:style w:type="character" w:customStyle="1" w:styleId="FooterChar">
    <w:name w:val="Footer Char"/>
    <w:basedOn w:val="DefaultParagraphFont"/>
    <w:link w:val="Footer"/>
    <w:uiPriority w:val="99"/>
    <w:rsid w:val="00A76E9D"/>
    <w:rPr>
      <w:rFonts w:ascii="Arial" w:eastAsia="Times New Roman" w:hAnsi="Arial" w:cs="Arial"/>
      <w:i/>
      <w:lang w:eastAsia="en-GB"/>
    </w:rPr>
  </w:style>
  <w:style w:type="paragraph" w:styleId="BalloonText">
    <w:name w:val="Balloon Text"/>
    <w:basedOn w:val="Normal"/>
    <w:link w:val="BalloonTextChar"/>
    <w:uiPriority w:val="99"/>
    <w:rsid w:val="00A76E9D"/>
    <w:rPr>
      <w:rFonts w:ascii="Tahoma" w:hAnsi="Tahoma" w:cs="Tahoma"/>
      <w:sz w:val="16"/>
      <w:szCs w:val="16"/>
    </w:rPr>
  </w:style>
  <w:style w:type="character" w:customStyle="1" w:styleId="BalloonTextChar">
    <w:name w:val="Balloon Text Char"/>
    <w:basedOn w:val="DefaultParagraphFont"/>
    <w:link w:val="BalloonText"/>
    <w:uiPriority w:val="99"/>
    <w:rsid w:val="00A76E9D"/>
    <w:rPr>
      <w:rFonts w:ascii="Tahoma" w:eastAsia="Times New Roman" w:hAnsi="Tahoma" w:cs="Tahoma"/>
      <w:sz w:val="16"/>
      <w:szCs w:val="16"/>
      <w:lang w:eastAsia="en-GB"/>
    </w:rPr>
  </w:style>
  <w:style w:type="paragraph" w:styleId="ListParagraph">
    <w:name w:val="List Paragraph"/>
    <w:basedOn w:val="Normal"/>
    <w:uiPriority w:val="34"/>
    <w:qFormat/>
    <w:rsid w:val="00A76E9D"/>
    <w:pPr>
      <w:spacing w:after="200" w:line="276" w:lineRule="auto"/>
      <w:ind w:left="720"/>
      <w:contextualSpacing/>
    </w:pPr>
    <w:rPr>
      <w:rFonts w:ascii="Calibri" w:hAnsi="Calibri"/>
      <w:sz w:val="22"/>
      <w:szCs w:val="22"/>
      <w:lang w:eastAsia="en-US"/>
    </w:rPr>
  </w:style>
  <w:style w:type="paragraph" w:styleId="BodyTextIndent2">
    <w:name w:val="Body Text Indent 2"/>
    <w:basedOn w:val="Normal"/>
    <w:link w:val="BodyTextIndent2Char"/>
    <w:uiPriority w:val="99"/>
    <w:rsid w:val="00A76E9D"/>
    <w:pPr>
      <w:spacing w:after="120" w:line="480" w:lineRule="auto"/>
      <w:ind w:left="283"/>
    </w:pPr>
  </w:style>
  <w:style w:type="character" w:customStyle="1" w:styleId="BodyTextIndent2Char">
    <w:name w:val="Body Text Indent 2 Char"/>
    <w:basedOn w:val="DefaultParagraphFont"/>
    <w:link w:val="BodyTextIndent2"/>
    <w:uiPriority w:val="99"/>
    <w:rsid w:val="00A76E9D"/>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A76E9D"/>
    <w:rPr>
      <w:rFonts w:cs="Times New Roman"/>
      <w:color w:val="0000FF"/>
      <w:u w:val="single"/>
    </w:rPr>
  </w:style>
  <w:style w:type="paragraph" w:customStyle="1" w:styleId="tableright">
    <w:name w:val="tableright"/>
    <w:basedOn w:val="Normal"/>
    <w:uiPriority w:val="99"/>
    <w:rsid w:val="00A76E9D"/>
    <w:pPr>
      <w:shd w:val="clear" w:color="auto" w:fill="EBEBEB"/>
      <w:spacing w:line="300" w:lineRule="atLeast"/>
      <w:jc w:val="right"/>
    </w:pPr>
    <w:rPr>
      <w:rFonts w:ascii="Verdana" w:hAnsi="Verdana"/>
      <w:sz w:val="15"/>
      <w:szCs w:val="15"/>
    </w:rPr>
  </w:style>
  <w:style w:type="paragraph" w:customStyle="1" w:styleId="tabletextbold">
    <w:name w:val="tabletextbold"/>
    <w:basedOn w:val="Normal"/>
    <w:uiPriority w:val="99"/>
    <w:rsid w:val="00A76E9D"/>
    <w:pPr>
      <w:shd w:val="clear" w:color="auto" w:fill="CCCCCC"/>
      <w:spacing w:line="300" w:lineRule="atLeast"/>
    </w:pPr>
    <w:rPr>
      <w:rFonts w:ascii="Verdana" w:hAnsi="Verdana"/>
      <w:b/>
      <w:bCs/>
      <w:sz w:val="15"/>
      <w:szCs w:val="15"/>
    </w:rPr>
  </w:style>
  <w:style w:type="paragraph" w:customStyle="1" w:styleId="tabletext">
    <w:name w:val="tabletext"/>
    <w:basedOn w:val="Normal"/>
    <w:uiPriority w:val="99"/>
    <w:rsid w:val="00A76E9D"/>
    <w:pPr>
      <w:shd w:val="clear" w:color="auto" w:fill="EBEBEB"/>
      <w:spacing w:line="300" w:lineRule="atLeast"/>
      <w:ind w:left="45"/>
      <w:textAlignment w:val="top"/>
    </w:pPr>
    <w:rPr>
      <w:rFonts w:ascii="Verdana" w:hAnsi="Verdana"/>
      <w:sz w:val="15"/>
      <w:szCs w:val="15"/>
    </w:rPr>
  </w:style>
  <w:style w:type="paragraph" w:customStyle="1" w:styleId="tablerightbold">
    <w:name w:val="tablerightbold"/>
    <w:basedOn w:val="Normal"/>
    <w:uiPriority w:val="99"/>
    <w:rsid w:val="00A76E9D"/>
    <w:pPr>
      <w:shd w:val="clear" w:color="auto" w:fill="CCCCCC"/>
      <w:spacing w:line="300" w:lineRule="atLeast"/>
      <w:jc w:val="right"/>
    </w:pPr>
    <w:rPr>
      <w:rFonts w:ascii="Verdana" w:hAnsi="Verdana"/>
      <w:b/>
      <w:bCs/>
      <w:sz w:val="15"/>
      <w:szCs w:val="15"/>
    </w:rPr>
  </w:style>
  <w:style w:type="paragraph" w:customStyle="1" w:styleId="tablerightbold9">
    <w:name w:val="tablerightbold9"/>
    <w:basedOn w:val="Normal"/>
    <w:uiPriority w:val="99"/>
    <w:rsid w:val="00A76E9D"/>
    <w:pPr>
      <w:shd w:val="clear" w:color="auto" w:fill="CCCCCC"/>
      <w:spacing w:line="225" w:lineRule="atLeast"/>
      <w:jc w:val="right"/>
    </w:pPr>
    <w:rPr>
      <w:rFonts w:ascii="Verdana" w:hAnsi="Verdana"/>
      <w:b/>
      <w:bCs/>
      <w:sz w:val="12"/>
      <w:szCs w:val="12"/>
    </w:rPr>
  </w:style>
  <w:style w:type="character" w:customStyle="1" w:styleId="footnote-reference">
    <w:name w:val="footnote-reference"/>
    <w:basedOn w:val="DefaultParagraphFont"/>
    <w:uiPriority w:val="99"/>
    <w:rsid w:val="00A76E9D"/>
    <w:rPr>
      <w:rFonts w:cs="Times New Roman"/>
    </w:rPr>
  </w:style>
  <w:style w:type="paragraph" w:customStyle="1" w:styleId="tabletextbold9">
    <w:name w:val="tabletextbold9"/>
    <w:basedOn w:val="Normal"/>
    <w:uiPriority w:val="99"/>
    <w:rsid w:val="00A76E9D"/>
    <w:pPr>
      <w:shd w:val="clear" w:color="auto" w:fill="CCCCCC"/>
      <w:spacing w:line="225" w:lineRule="atLeast"/>
      <w:textAlignment w:val="top"/>
    </w:pPr>
    <w:rPr>
      <w:rFonts w:ascii="Verdana" w:hAnsi="Verdana"/>
      <w:b/>
      <w:bCs/>
      <w:sz w:val="12"/>
      <w:szCs w:val="12"/>
    </w:rPr>
  </w:style>
  <w:style w:type="character" w:customStyle="1" w:styleId="purple1">
    <w:name w:val="purple1"/>
    <w:basedOn w:val="DefaultParagraphFont"/>
    <w:uiPriority w:val="99"/>
    <w:rsid w:val="00A76E9D"/>
    <w:rPr>
      <w:rFonts w:cs="Times New Roman"/>
      <w:color w:val="60227B"/>
    </w:rPr>
  </w:style>
  <w:style w:type="paragraph" w:customStyle="1" w:styleId="CM111">
    <w:name w:val="CM111"/>
    <w:basedOn w:val="Normal"/>
    <w:next w:val="Normal"/>
    <w:uiPriority w:val="99"/>
    <w:rsid w:val="00A76E9D"/>
    <w:pPr>
      <w:autoSpaceDE w:val="0"/>
      <w:autoSpaceDN w:val="0"/>
      <w:adjustRightInd w:val="0"/>
      <w:spacing w:after="393"/>
    </w:pPr>
    <w:rPr>
      <w:rFonts w:ascii="Arial" w:hAnsi="Arial" w:cs="Arial"/>
      <w:lang w:val="en-US" w:eastAsia="en-US"/>
    </w:rPr>
  </w:style>
  <w:style w:type="paragraph" w:customStyle="1" w:styleId="Default">
    <w:name w:val="Default"/>
    <w:rsid w:val="00A76E9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100">
    <w:name w:val="CM100"/>
    <w:basedOn w:val="Default"/>
    <w:next w:val="Default"/>
    <w:uiPriority w:val="99"/>
    <w:rsid w:val="00A76E9D"/>
    <w:rPr>
      <w:color w:val="auto"/>
    </w:rPr>
  </w:style>
  <w:style w:type="paragraph" w:customStyle="1" w:styleId="ExampleText">
    <w:name w:val="ExampleText"/>
    <w:basedOn w:val="Normal"/>
    <w:uiPriority w:val="99"/>
    <w:rsid w:val="00A76E9D"/>
    <w:pPr>
      <w:keepLines/>
      <w:widowControl w:val="0"/>
      <w:suppressAutoHyphens/>
      <w:autoSpaceDE w:val="0"/>
      <w:autoSpaceDN w:val="0"/>
      <w:adjustRightInd w:val="0"/>
      <w:spacing w:before="150" w:line="260" w:lineRule="atLeast"/>
      <w:ind w:left="680"/>
      <w:textAlignment w:val="baseline"/>
    </w:pPr>
    <w:rPr>
      <w:rFonts w:ascii="DIN-Regular" w:hAnsi="DIN-Regular" w:cs="DIN-Regular"/>
      <w:color w:val="000000"/>
      <w:sz w:val="18"/>
      <w:szCs w:val="18"/>
      <w:lang w:val="en-US"/>
    </w:rPr>
  </w:style>
  <w:style w:type="paragraph" w:customStyle="1" w:styleId="secbody">
    <w:name w:val="secbody"/>
    <w:basedOn w:val="Normal"/>
    <w:uiPriority w:val="99"/>
    <w:rsid w:val="00A76E9D"/>
    <w:pPr>
      <w:spacing w:before="100" w:beforeAutospacing="1" w:after="100" w:afterAutospacing="1"/>
    </w:pPr>
    <w:rPr>
      <w:rFonts w:ascii="Verdana" w:hAnsi="Verdana"/>
      <w:color w:val="60227B"/>
      <w:sz w:val="18"/>
      <w:szCs w:val="18"/>
    </w:rPr>
  </w:style>
  <w:style w:type="paragraph" w:customStyle="1" w:styleId="secbullets">
    <w:name w:val="secbullets"/>
    <w:basedOn w:val="Normal"/>
    <w:uiPriority w:val="99"/>
    <w:rsid w:val="00A76E9D"/>
    <w:pPr>
      <w:spacing w:after="100" w:afterAutospacing="1"/>
    </w:pPr>
    <w:rPr>
      <w:rFonts w:ascii="Verdana" w:hAnsi="Verdana"/>
      <w:color w:val="60227B"/>
      <w:sz w:val="18"/>
      <w:szCs w:val="18"/>
    </w:rPr>
  </w:style>
  <w:style w:type="paragraph" w:customStyle="1" w:styleId="secheadc">
    <w:name w:val="secheadc"/>
    <w:basedOn w:val="Normal"/>
    <w:uiPriority w:val="99"/>
    <w:rsid w:val="00A76E9D"/>
    <w:pPr>
      <w:spacing w:before="100" w:beforeAutospacing="1" w:after="100" w:afterAutospacing="1"/>
    </w:pPr>
    <w:rPr>
      <w:rFonts w:ascii="Verdana" w:hAnsi="Verdana"/>
      <w:b/>
      <w:bCs/>
      <w:color w:val="60227B"/>
      <w:sz w:val="18"/>
      <w:szCs w:val="18"/>
    </w:rPr>
  </w:style>
  <w:style w:type="paragraph" w:customStyle="1" w:styleId="secbodyindent01">
    <w:name w:val="secbodyindent01"/>
    <w:basedOn w:val="Normal"/>
    <w:uiPriority w:val="99"/>
    <w:rsid w:val="00A76E9D"/>
    <w:pPr>
      <w:spacing w:before="100" w:beforeAutospacing="1" w:after="100" w:afterAutospacing="1"/>
    </w:pPr>
    <w:rPr>
      <w:rFonts w:ascii="Verdana" w:hAnsi="Verdana"/>
      <w:color w:val="60227B"/>
      <w:sz w:val="18"/>
      <w:szCs w:val="18"/>
    </w:rPr>
  </w:style>
  <w:style w:type="character" w:customStyle="1" w:styleId="italic1">
    <w:name w:val="italic1"/>
    <w:basedOn w:val="DefaultParagraphFont"/>
    <w:uiPriority w:val="99"/>
    <w:rsid w:val="00A76E9D"/>
    <w:rPr>
      <w:rFonts w:cs="Times New Roman"/>
      <w:i/>
      <w:iCs/>
    </w:rPr>
  </w:style>
  <w:style w:type="character" w:styleId="Emphasis">
    <w:name w:val="Emphasis"/>
    <w:basedOn w:val="DefaultParagraphFont"/>
    <w:uiPriority w:val="99"/>
    <w:qFormat/>
    <w:rsid w:val="00A76E9D"/>
    <w:rPr>
      <w:rFonts w:cs="Times New Roman"/>
      <w:i/>
      <w:iCs/>
    </w:rPr>
  </w:style>
  <w:style w:type="paragraph" w:customStyle="1" w:styleId="BodyText1">
    <w:name w:val="Body Text1"/>
    <w:basedOn w:val="Normal"/>
    <w:link w:val="BodytextChar0"/>
    <w:uiPriority w:val="99"/>
    <w:rsid w:val="00A76E9D"/>
    <w:pPr>
      <w:spacing w:before="140" w:line="300" w:lineRule="atLeast"/>
    </w:pPr>
    <w:rPr>
      <w:rFonts w:ascii="Arial" w:hAnsi="Arial"/>
      <w:sz w:val="22"/>
    </w:rPr>
  </w:style>
  <w:style w:type="paragraph" w:customStyle="1" w:styleId="Bullet1">
    <w:name w:val="Bullet 1"/>
    <w:basedOn w:val="Normal"/>
    <w:link w:val="Bullet1CharChar"/>
    <w:uiPriority w:val="99"/>
    <w:rsid w:val="00A76E9D"/>
    <w:pPr>
      <w:numPr>
        <w:numId w:val="2"/>
      </w:numPr>
      <w:spacing w:line="300" w:lineRule="atLeast"/>
    </w:pPr>
    <w:rPr>
      <w:rFonts w:ascii="Arial" w:hAnsi="Arial"/>
      <w:sz w:val="22"/>
    </w:rPr>
  </w:style>
  <w:style w:type="character" w:customStyle="1" w:styleId="BodytextChar0">
    <w:name w:val="Body text Char"/>
    <w:basedOn w:val="DefaultParagraphFont"/>
    <w:link w:val="BodyText1"/>
    <w:uiPriority w:val="99"/>
    <w:locked/>
    <w:rsid w:val="00A76E9D"/>
    <w:rPr>
      <w:rFonts w:ascii="Arial" w:eastAsia="Times New Roman" w:hAnsi="Arial" w:cs="Times New Roman"/>
      <w:szCs w:val="24"/>
      <w:lang w:eastAsia="en-GB"/>
    </w:rPr>
  </w:style>
  <w:style w:type="character" w:customStyle="1" w:styleId="Bullet1CharChar">
    <w:name w:val="Bullet 1 Char Char"/>
    <w:basedOn w:val="DefaultParagraphFont"/>
    <w:link w:val="Bullet1"/>
    <w:uiPriority w:val="99"/>
    <w:locked/>
    <w:rsid w:val="00A76E9D"/>
    <w:rPr>
      <w:rFonts w:ascii="Arial" w:eastAsia="Times New Roman" w:hAnsi="Arial" w:cs="Times New Roman"/>
      <w:szCs w:val="24"/>
      <w:lang w:eastAsia="en-GB"/>
    </w:rPr>
  </w:style>
  <w:style w:type="character" w:styleId="Strong">
    <w:name w:val="Strong"/>
    <w:basedOn w:val="DefaultParagraphFont"/>
    <w:uiPriority w:val="99"/>
    <w:qFormat/>
    <w:rsid w:val="00A76E9D"/>
    <w:rPr>
      <w:rFonts w:cs="Times New Roman"/>
      <w:b/>
      <w:bCs/>
    </w:rPr>
  </w:style>
  <w:style w:type="paragraph" w:customStyle="1" w:styleId="bullets">
    <w:name w:val="bullets"/>
    <w:basedOn w:val="Normal"/>
    <w:uiPriority w:val="99"/>
    <w:rsid w:val="00A76E9D"/>
    <w:pPr>
      <w:spacing w:after="100" w:afterAutospacing="1"/>
    </w:pPr>
    <w:rPr>
      <w:rFonts w:ascii="Verdana" w:hAnsi="Verdana"/>
      <w:color w:val="000000"/>
      <w:sz w:val="21"/>
      <w:szCs w:val="21"/>
    </w:rPr>
  </w:style>
  <w:style w:type="paragraph" w:customStyle="1" w:styleId="headc">
    <w:name w:val="headc"/>
    <w:basedOn w:val="Normal"/>
    <w:uiPriority w:val="99"/>
    <w:rsid w:val="00A76E9D"/>
    <w:pPr>
      <w:spacing w:before="100" w:beforeAutospacing="1" w:after="100" w:afterAutospacing="1"/>
    </w:pPr>
    <w:rPr>
      <w:rFonts w:ascii="Verdana" w:hAnsi="Verdana"/>
      <w:b/>
      <w:bCs/>
      <w:sz w:val="21"/>
      <w:szCs w:val="21"/>
    </w:rPr>
  </w:style>
  <w:style w:type="paragraph" w:customStyle="1" w:styleId="bodyindent">
    <w:name w:val="bodyindent"/>
    <w:basedOn w:val="Normal"/>
    <w:uiPriority w:val="99"/>
    <w:rsid w:val="00A76E9D"/>
    <w:pPr>
      <w:spacing w:before="100" w:beforeAutospacing="1" w:after="100" w:afterAutospacing="1"/>
    </w:pPr>
    <w:rPr>
      <w:rFonts w:ascii="Verdana" w:hAnsi="Verdana"/>
      <w:color w:val="000000"/>
      <w:sz w:val="21"/>
      <w:szCs w:val="21"/>
    </w:rPr>
  </w:style>
  <w:style w:type="paragraph" w:customStyle="1" w:styleId="examplesub02">
    <w:name w:val="examplesub02"/>
    <w:basedOn w:val="Normal"/>
    <w:uiPriority w:val="99"/>
    <w:rsid w:val="00A76E9D"/>
    <w:pPr>
      <w:spacing w:before="100" w:beforeAutospacing="1" w:after="100" w:afterAutospacing="1"/>
    </w:pPr>
    <w:rPr>
      <w:rFonts w:ascii="Verdana" w:hAnsi="Verdana"/>
      <w:b/>
      <w:bCs/>
      <w:color w:val="602292"/>
      <w:sz w:val="21"/>
      <w:szCs w:val="21"/>
    </w:rPr>
  </w:style>
  <w:style w:type="character" w:customStyle="1" w:styleId="footnoteref1">
    <w:name w:val="footnoteref1"/>
    <w:basedOn w:val="DefaultParagraphFont"/>
    <w:rsid w:val="00A76E9D"/>
    <w:rPr>
      <w:rFonts w:cs="Times New Roman"/>
      <w:sz w:val="16"/>
      <w:szCs w:val="16"/>
      <w:u w:val="single"/>
    </w:rPr>
  </w:style>
  <w:style w:type="character" w:styleId="CommentReference">
    <w:name w:val="annotation reference"/>
    <w:basedOn w:val="DefaultParagraphFont"/>
    <w:uiPriority w:val="99"/>
    <w:rsid w:val="00A76E9D"/>
    <w:rPr>
      <w:rFonts w:cs="Times New Roman"/>
      <w:sz w:val="16"/>
      <w:szCs w:val="16"/>
    </w:rPr>
  </w:style>
  <w:style w:type="paragraph" w:styleId="CommentText">
    <w:name w:val="annotation text"/>
    <w:aliases w:val=" Char1"/>
    <w:basedOn w:val="Normal"/>
    <w:link w:val="CommentTextChar"/>
    <w:uiPriority w:val="99"/>
    <w:rsid w:val="00A76E9D"/>
    <w:rPr>
      <w:sz w:val="20"/>
      <w:szCs w:val="20"/>
    </w:rPr>
  </w:style>
  <w:style w:type="character" w:customStyle="1" w:styleId="CommentTextChar">
    <w:name w:val="Comment Text Char"/>
    <w:aliases w:val=" Char1 Char"/>
    <w:basedOn w:val="DefaultParagraphFont"/>
    <w:link w:val="CommentText"/>
    <w:uiPriority w:val="99"/>
    <w:rsid w:val="00A76E9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sid w:val="00A76E9D"/>
    <w:rPr>
      <w:b/>
      <w:bCs/>
    </w:rPr>
  </w:style>
  <w:style w:type="character" w:customStyle="1" w:styleId="CommentSubjectChar">
    <w:name w:val="Comment Subject Char"/>
    <w:basedOn w:val="CommentTextChar"/>
    <w:link w:val="CommentSubject"/>
    <w:uiPriority w:val="99"/>
    <w:rsid w:val="00A76E9D"/>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A76E9D"/>
    <w:pPr>
      <w:spacing w:before="100" w:beforeAutospacing="1" w:after="100" w:afterAutospacing="1"/>
    </w:pPr>
  </w:style>
  <w:style w:type="paragraph" w:styleId="Revision">
    <w:name w:val="Revision"/>
    <w:hidden/>
    <w:uiPriority w:val="99"/>
    <w:semiHidden/>
    <w:rsid w:val="00A76E9D"/>
    <w:pPr>
      <w:spacing w:after="0" w:line="240" w:lineRule="auto"/>
    </w:pPr>
    <w:rPr>
      <w:rFonts w:ascii="Times New Roman" w:eastAsia="Times New Roman" w:hAnsi="Times New Roman" w:cs="Times New Roman"/>
      <w:sz w:val="24"/>
      <w:szCs w:val="24"/>
      <w:lang w:eastAsia="en-GB"/>
    </w:rPr>
  </w:style>
  <w:style w:type="paragraph" w:customStyle="1" w:styleId="BodyTextGrey">
    <w:name w:val="Body Text Grey"/>
    <w:basedOn w:val="Normal"/>
    <w:link w:val="BodyTextGreyChar"/>
    <w:qFormat/>
    <w:rsid w:val="00A76E9D"/>
    <w:pPr>
      <w:spacing w:after="200" w:line="280" w:lineRule="atLeast"/>
    </w:pPr>
    <w:rPr>
      <w:rFonts w:ascii="Arial" w:hAnsi="Arial" w:cs="Arial"/>
      <w:iCs/>
      <w:color w:val="4B4B4B"/>
      <w:sz w:val="20"/>
      <w:szCs w:val="20"/>
      <w:lang w:eastAsia="en-US"/>
    </w:rPr>
  </w:style>
  <w:style w:type="character" w:customStyle="1" w:styleId="BodyTextGreyChar">
    <w:name w:val="Body Text Grey Char"/>
    <w:basedOn w:val="DefaultParagraphFont"/>
    <w:link w:val="BodyTextGrey"/>
    <w:locked/>
    <w:rsid w:val="00A76E9D"/>
    <w:rPr>
      <w:rFonts w:ascii="Arial" w:eastAsia="Times New Roman" w:hAnsi="Arial" w:cs="Arial"/>
      <w:iCs/>
      <w:color w:val="4B4B4B"/>
      <w:sz w:val="20"/>
      <w:szCs w:val="20"/>
    </w:rPr>
  </w:style>
  <w:style w:type="paragraph" w:styleId="BodyText2">
    <w:name w:val="Body Text 2"/>
    <w:basedOn w:val="Normal"/>
    <w:link w:val="BodyText2Char"/>
    <w:rsid w:val="00A76E9D"/>
    <w:pPr>
      <w:spacing w:after="120" w:line="480" w:lineRule="auto"/>
    </w:pPr>
    <w:rPr>
      <w:rFonts w:ascii="Arial" w:hAnsi="Arial"/>
      <w:sz w:val="22"/>
    </w:rPr>
  </w:style>
  <w:style w:type="character" w:customStyle="1" w:styleId="BodyText2Char">
    <w:name w:val="Body Text 2 Char"/>
    <w:basedOn w:val="DefaultParagraphFont"/>
    <w:link w:val="BodyText2"/>
    <w:rsid w:val="00A76E9D"/>
    <w:rPr>
      <w:rFonts w:ascii="Arial" w:eastAsia="Times New Roman" w:hAnsi="Arial" w:cs="Times New Roman"/>
      <w:szCs w:val="24"/>
      <w:lang w:eastAsia="en-GB"/>
    </w:rPr>
  </w:style>
  <w:style w:type="paragraph" w:customStyle="1" w:styleId="inlinenormal">
    <w:name w:val="inlinenormal"/>
    <w:basedOn w:val="Normal"/>
    <w:rsid w:val="00A76E9D"/>
    <w:pPr>
      <w:autoSpaceDN w:val="0"/>
      <w:spacing w:before="120" w:after="60" w:line="264" w:lineRule="auto"/>
    </w:pPr>
    <w:rPr>
      <w:rFonts w:ascii="Arial" w:hAnsi="Arial" w:cs="Arial"/>
    </w:rPr>
  </w:style>
  <w:style w:type="paragraph" w:styleId="FootnoteText">
    <w:name w:val="footnote text"/>
    <w:basedOn w:val="Normal"/>
    <w:link w:val="FootnoteTextChar"/>
    <w:rsid w:val="00A76E9D"/>
    <w:rPr>
      <w:sz w:val="20"/>
      <w:szCs w:val="20"/>
    </w:rPr>
  </w:style>
  <w:style w:type="character" w:customStyle="1" w:styleId="FootnoteTextChar">
    <w:name w:val="Footnote Text Char"/>
    <w:basedOn w:val="DefaultParagraphFont"/>
    <w:link w:val="FootnoteText"/>
    <w:rsid w:val="00A76E9D"/>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A76E9D"/>
    <w:rPr>
      <w:vertAlign w:val="superscript"/>
    </w:rPr>
  </w:style>
  <w:style w:type="character" w:styleId="FollowedHyperlink">
    <w:name w:val="FollowedHyperlink"/>
    <w:basedOn w:val="DefaultParagraphFont"/>
    <w:rsid w:val="00A76E9D"/>
    <w:rPr>
      <w:color w:val="954F72" w:themeColor="followedHyperlink"/>
      <w:u w:val="single"/>
    </w:rPr>
  </w:style>
  <w:style w:type="character" w:customStyle="1" w:styleId="st1">
    <w:name w:val="st1"/>
    <w:basedOn w:val="DefaultParagraphFont"/>
    <w:rsid w:val="00A76E9D"/>
  </w:style>
  <w:style w:type="paragraph" w:customStyle="1" w:styleId="HRsub1">
    <w:name w:val="HRsub1"/>
    <w:basedOn w:val="Heading3"/>
    <w:next w:val="BodyText"/>
    <w:rsid w:val="00A76E9D"/>
    <w:pPr>
      <w:keepNext w:val="0"/>
      <w:keepLines w:val="0"/>
      <w:spacing w:before="240" w:after="240"/>
      <w:outlineLvl w:val="9"/>
    </w:pPr>
    <w:rPr>
      <w:rFonts w:ascii="Arial" w:hAnsi="Arial"/>
      <w:bCs w:val="0"/>
      <w:color w:val="00257E"/>
      <w:sz w:val="22"/>
      <w:szCs w:val="20"/>
      <w:lang w:eastAsia="en-US"/>
    </w:rPr>
  </w:style>
  <w:style w:type="paragraph" w:styleId="ListBullet">
    <w:name w:val="List Bullet"/>
    <w:basedOn w:val="Normal"/>
    <w:autoRedefine/>
    <w:rsid w:val="00A76E9D"/>
    <w:pPr>
      <w:numPr>
        <w:numId w:val="3"/>
      </w:numPr>
    </w:pPr>
    <w:rPr>
      <w:rFonts w:ascii="Helvetica" w:hAnsi="Helvetica"/>
      <w:b/>
      <w:sz w:val="20"/>
      <w:szCs w:val="20"/>
      <w:lang w:eastAsia="en-US"/>
    </w:rPr>
  </w:style>
  <w:style w:type="paragraph" w:customStyle="1" w:styleId="HRbullet">
    <w:name w:val="HRbullet"/>
    <w:basedOn w:val="Heading4"/>
    <w:rsid w:val="00A76E9D"/>
    <w:pPr>
      <w:keepNext w:val="0"/>
      <w:keepLines w:val="0"/>
      <w:numPr>
        <w:numId w:val="4"/>
      </w:numPr>
      <w:spacing w:before="0" w:after="240" w:line="240" w:lineRule="auto"/>
      <w:ind w:left="1440"/>
      <w:jc w:val="both"/>
      <w:outlineLvl w:val="9"/>
    </w:pPr>
    <w:rPr>
      <w:rFonts w:ascii="Garamond" w:eastAsia="Times New Roman" w:hAnsi="Garamond" w:cs="Times New Roman"/>
      <w:b w:val="0"/>
      <w:bCs w:val="0"/>
      <w:i w:val="0"/>
      <w:iCs w:val="0"/>
      <w:color w:val="000000"/>
      <w:sz w:val="24"/>
      <w:szCs w:val="20"/>
    </w:rPr>
  </w:style>
  <w:style w:type="paragraph" w:customStyle="1" w:styleId="hBullet3">
    <w:name w:val="hBullet3"/>
    <w:basedOn w:val="BodyText"/>
    <w:rsid w:val="00A76E9D"/>
    <w:pPr>
      <w:widowControl w:val="0"/>
      <w:numPr>
        <w:numId w:val="5"/>
      </w:numPr>
      <w:tabs>
        <w:tab w:val="clear" w:pos="567"/>
        <w:tab w:val="num" w:pos="360"/>
      </w:tabs>
      <w:spacing w:before="120" w:line="280" w:lineRule="atLeast"/>
      <w:ind w:left="0" w:firstLine="0"/>
    </w:pPr>
    <w:rPr>
      <w:rFonts w:ascii="Arial" w:hAnsi="Arial"/>
      <w:color w:val="4B4B4B"/>
      <w:sz w:val="20"/>
      <w:szCs w:val="24"/>
    </w:rPr>
  </w:style>
  <w:style w:type="numbering" w:customStyle="1" w:styleId="HRBullet0">
    <w:name w:val="HR Bullet"/>
    <w:uiPriority w:val="99"/>
    <w:rsid w:val="00A76E9D"/>
    <w:pPr>
      <w:numPr>
        <w:numId w:val="6"/>
      </w:numPr>
    </w:pPr>
  </w:style>
  <w:style w:type="paragraph" w:customStyle="1" w:styleId="BulletHymans">
    <w:name w:val="Bullet Hymans"/>
    <w:link w:val="BulletHymansChar"/>
    <w:uiPriority w:val="2"/>
    <w:qFormat/>
    <w:rsid w:val="00A76E9D"/>
    <w:pPr>
      <w:numPr>
        <w:numId w:val="6"/>
      </w:numPr>
      <w:spacing w:before="20" w:after="140" w:line="280" w:lineRule="exact"/>
    </w:pPr>
    <w:rPr>
      <w:rFonts w:ascii="Arial" w:eastAsia="Times New Roman" w:hAnsi="Arial" w:cs="Arial"/>
      <w:iCs/>
      <w:color w:val="4B4B4B"/>
      <w:sz w:val="20"/>
      <w:szCs w:val="20"/>
    </w:rPr>
  </w:style>
  <w:style w:type="character" w:styleId="PageNumber">
    <w:name w:val="page number"/>
    <w:basedOn w:val="DefaultParagraphFont"/>
    <w:rsid w:val="00A76E9D"/>
  </w:style>
  <w:style w:type="paragraph" w:customStyle="1" w:styleId="Appendix1">
    <w:name w:val="Appendix 1"/>
    <w:basedOn w:val="Heading1"/>
    <w:next w:val="BodyTextGrey"/>
    <w:uiPriority w:val="3"/>
    <w:qFormat/>
    <w:rsid w:val="00A76E9D"/>
    <w:pPr>
      <w:keepLines/>
      <w:pageBreakBefore/>
      <w:spacing w:before="140" w:after="140" w:line="360" w:lineRule="atLeast"/>
    </w:pPr>
    <w:rPr>
      <w:rFonts w:ascii="Arial" w:hAnsi="Arial"/>
      <w:b w:val="0"/>
      <w:bCs w:val="0"/>
      <w:color w:val="3FA6CC"/>
      <w:kern w:val="28"/>
      <w:sz w:val="36"/>
      <w:szCs w:val="20"/>
    </w:rPr>
  </w:style>
  <w:style w:type="paragraph" w:customStyle="1" w:styleId="srch-metadata">
    <w:name w:val="srch-metadata"/>
    <w:basedOn w:val="Normal"/>
    <w:rsid w:val="00A76E9D"/>
    <w:pPr>
      <w:spacing w:before="100" w:beforeAutospacing="1" w:after="100" w:afterAutospacing="1"/>
    </w:pPr>
  </w:style>
  <w:style w:type="character" w:customStyle="1" w:styleId="srch-url">
    <w:name w:val="srch-url"/>
    <w:basedOn w:val="DefaultParagraphFont"/>
    <w:rsid w:val="00A76E9D"/>
  </w:style>
  <w:style w:type="paragraph" w:customStyle="1" w:styleId="TitleLogo">
    <w:name w:val="Title Logo"/>
    <w:basedOn w:val="Normal"/>
    <w:rsid w:val="00A76E9D"/>
    <w:pPr>
      <w:spacing w:before="1200" w:after="1560"/>
    </w:pPr>
    <w:rPr>
      <w:rFonts w:ascii="ORupert" w:hAnsi="ORupert"/>
      <w:sz w:val="56"/>
      <w:szCs w:val="20"/>
      <w:lang w:eastAsia="en-US"/>
    </w:rPr>
  </w:style>
  <w:style w:type="paragraph" w:customStyle="1" w:styleId="TitleTitle">
    <w:name w:val="Title Title"/>
    <w:basedOn w:val="TitleLogo"/>
    <w:rsid w:val="00A76E9D"/>
    <w:pPr>
      <w:pBdr>
        <w:top w:val="single" w:sz="6" w:space="30" w:color="auto"/>
      </w:pBdr>
      <w:spacing w:after="0"/>
      <w:ind w:left="2410"/>
    </w:pPr>
    <w:rPr>
      <w:rFonts w:ascii="Helvetica" w:hAnsi="Helvetica"/>
      <w:b/>
      <w:i/>
      <w:caps/>
      <w:color w:val="00257E"/>
      <w:sz w:val="28"/>
    </w:rPr>
  </w:style>
  <w:style w:type="paragraph" w:customStyle="1" w:styleId="TitleSubTitle">
    <w:name w:val="Title Sub Title"/>
    <w:basedOn w:val="TitleTitle"/>
    <w:rsid w:val="00A76E9D"/>
    <w:pPr>
      <w:pBdr>
        <w:top w:val="none" w:sz="0" w:space="0" w:color="auto"/>
        <w:bottom w:val="single" w:sz="6" w:space="31" w:color="auto"/>
      </w:pBdr>
      <w:spacing w:before="240"/>
    </w:pPr>
    <w:rPr>
      <w:i w:val="0"/>
      <w:caps w:val="0"/>
      <w:color w:val="auto"/>
      <w:sz w:val="24"/>
    </w:rPr>
  </w:style>
  <w:style w:type="paragraph" w:customStyle="1" w:styleId="TitlePreparedBy">
    <w:name w:val="Title Prepared By"/>
    <w:basedOn w:val="Normal"/>
    <w:rsid w:val="00A76E9D"/>
    <w:pPr>
      <w:spacing w:before="600"/>
      <w:ind w:left="2880"/>
    </w:pPr>
    <w:rPr>
      <w:rFonts w:ascii="Garamond" w:hAnsi="Garamond"/>
      <w:b/>
      <w:sz w:val="22"/>
      <w:szCs w:val="20"/>
      <w:lang w:eastAsia="en-US"/>
    </w:rPr>
  </w:style>
  <w:style w:type="paragraph" w:customStyle="1" w:styleId="TitleAlsoPreparedBy">
    <w:name w:val="Title Also Prepared By"/>
    <w:basedOn w:val="TitlePreparedBy"/>
    <w:rsid w:val="00A76E9D"/>
  </w:style>
  <w:style w:type="paragraph" w:customStyle="1" w:styleId="ByLine">
    <w:name w:val="ByLine"/>
    <w:basedOn w:val="TitleAlsoPreparedBy"/>
    <w:rsid w:val="00A76E9D"/>
  </w:style>
  <w:style w:type="paragraph" w:customStyle="1" w:styleId="BodyHeader">
    <w:name w:val="Body Header"/>
    <w:basedOn w:val="Header"/>
    <w:rsid w:val="00A76E9D"/>
  </w:style>
  <w:style w:type="paragraph" w:styleId="TOC1">
    <w:name w:val="toc 1"/>
    <w:basedOn w:val="Normal"/>
    <w:next w:val="Normal"/>
    <w:uiPriority w:val="39"/>
    <w:rsid w:val="00A76E9D"/>
    <w:pPr>
      <w:tabs>
        <w:tab w:val="right" w:pos="8648"/>
      </w:tabs>
      <w:spacing w:before="360"/>
    </w:pPr>
    <w:rPr>
      <w:rFonts w:ascii="Arial" w:hAnsi="Arial"/>
      <w:b/>
      <w:caps/>
      <w:sz w:val="22"/>
      <w:szCs w:val="20"/>
      <w:lang w:eastAsia="en-US"/>
    </w:rPr>
  </w:style>
  <w:style w:type="paragraph" w:styleId="TOC2">
    <w:name w:val="toc 2"/>
    <w:basedOn w:val="Normal"/>
    <w:next w:val="Normal"/>
    <w:rsid w:val="00A76E9D"/>
    <w:pPr>
      <w:tabs>
        <w:tab w:val="right" w:pos="8648"/>
      </w:tabs>
      <w:spacing w:before="240"/>
    </w:pPr>
    <w:rPr>
      <w:b/>
      <w:sz w:val="20"/>
      <w:szCs w:val="20"/>
      <w:lang w:eastAsia="en-US"/>
    </w:rPr>
  </w:style>
  <w:style w:type="paragraph" w:customStyle="1" w:styleId="body">
    <w:name w:val="body"/>
    <w:basedOn w:val="Normal"/>
    <w:rsid w:val="00A76E9D"/>
    <w:pPr>
      <w:spacing w:after="240"/>
      <w:ind w:left="720" w:hanging="720"/>
    </w:pPr>
    <w:rPr>
      <w:rFonts w:ascii="Garamond" w:hAnsi="Garamond"/>
      <w:szCs w:val="20"/>
      <w:lang w:eastAsia="en-US"/>
    </w:rPr>
  </w:style>
  <w:style w:type="paragraph" w:styleId="TOC3">
    <w:name w:val="toc 3"/>
    <w:basedOn w:val="Normal"/>
    <w:next w:val="Normal"/>
    <w:rsid w:val="00A76E9D"/>
    <w:pPr>
      <w:tabs>
        <w:tab w:val="right" w:pos="8648"/>
      </w:tabs>
      <w:ind w:left="200"/>
    </w:pPr>
    <w:rPr>
      <w:sz w:val="20"/>
      <w:szCs w:val="20"/>
      <w:lang w:eastAsia="en-US"/>
    </w:rPr>
  </w:style>
  <w:style w:type="paragraph" w:styleId="TOC4">
    <w:name w:val="toc 4"/>
    <w:basedOn w:val="Normal"/>
    <w:next w:val="Normal"/>
    <w:rsid w:val="00A76E9D"/>
    <w:pPr>
      <w:tabs>
        <w:tab w:val="right" w:pos="8648"/>
      </w:tabs>
      <w:ind w:left="400"/>
    </w:pPr>
    <w:rPr>
      <w:sz w:val="20"/>
      <w:szCs w:val="20"/>
      <w:lang w:eastAsia="en-US"/>
    </w:rPr>
  </w:style>
  <w:style w:type="paragraph" w:styleId="TOC5">
    <w:name w:val="toc 5"/>
    <w:basedOn w:val="Normal"/>
    <w:next w:val="Normal"/>
    <w:semiHidden/>
    <w:rsid w:val="00A76E9D"/>
    <w:pPr>
      <w:tabs>
        <w:tab w:val="right" w:pos="8648"/>
      </w:tabs>
      <w:ind w:left="600"/>
    </w:pPr>
    <w:rPr>
      <w:sz w:val="20"/>
      <w:szCs w:val="20"/>
      <w:lang w:eastAsia="en-US"/>
    </w:rPr>
  </w:style>
  <w:style w:type="paragraph" w:styleId="TOC6">
    <w:name w:val="toc 6"/>
    <w:basedOn w:val="Normal"/>
    <w:next w:val="Normal"/>
    <w:semiHidden/>
    <w:rsid w:val="00A76E9D"/>
    <w:pPr>
      <w:tabs>
        <w:tab w:val="right" w:pos="8648"/>
      </w:tabs>
      <w:ind w:left="800"/>
    </w:pPr>
    <w:rPr>
      <w:sz w:val="20"/>
      <w:szCs w:val="20"/>
      <w:lang w:eastAsia="en-US"/>
    </w:rPr>
  </w:style>
  <w:style w:type="paragraph" w:styleId="TOC7">
    <w:name w:val="toc 7"/>
    <w:basedOn w:val="Normal"/>
    <w:next w:val="Normal"/>
    <w:semiHidden/>
    <w:rsid w:val="00A76E9D"/>
    <w:pPr>
      <w:tabs>
        <w:tab w:val="right" w:pos="8648"/>
      </w:tabs>
      <w:ind w:left="1000"/>
    </w:pPr>
    <w:rPr>
      <w:sz w:val="20"/>
      <w:szCs w:val="20"/>
      <w:lang w:eastAsia="en-US"/>
    </w:rPr>
  </w:style>
  <w:style w:type="paragraph" w:styleId="TOC8">
    <w:name w:val="toc 8"/>
    <w:basedOn w:val="Normal"/>
    <w:next w:val="Normal"/>
    <w:semiHidden/>
    <w:rsid w:val="00A76E9D"/>
    <w:pPr>
      <w:tabs>
        <w:tab w:val="right" w:pos="8648"/>
      </w:tabs>
      <w:ind w:left="1200"/>
    </w:pPr>
    <w:rPr>
      <w:sz w:val="20"/>
      <w:szCs w:val="20"/>
      <w:lang w:eastAsia="en-US"/>
    </w:rPr>
  </w:style>
  <w:style w:type="paragraph" w:styleId="TOC9">
    <w:name w:val="toc 9"/>
    <w:basedOn w:val="Normal"/>
    <w:next w:val="Normal"/>
    <w:semiHidden/>
    <w:rsid w:val="00A76E9D"/>
    <w:pPr>
      <w:tabs>
        <w:tab w:val="right" w:pos="8648"/>
      </w:tabs>
      <w:ind w:left="1400"/>
    </w:pPr>
    <w:rPr>
      <w:sz w:val="20"/>
      <w:szCs w:val="20"/>
      <w:lang w:eastAsia="en-US"/>
    </w:rPr>
  </w:style>
  <w:style w:type="paragraph" w:customStyle="1" w:styleId="Gap">
    <w:name w:val="Gap"/>
    <w:basedOn w:val="BodyHeader"/>
    <w:rsid w:val="00A76E9D"/>
  </w:style>
  <w:style w:type="paragraph" w:customStyle="1" w:styleId="Appendix">
    <w:name w:val="Appendix"/>
    <w:basedOn w:val="Heading2"/>
    <w:rsid w:val="00A76E9D"/>
    <w:pPr>
      <w:keepNext w:val="0"/>
      <w:numPr>
        <w:numId w:val="0"/>
      </w:numPr>
      <w:spacing w:before="240" w:after="240"/>
      <w:jc w:val="center"/>
      <w:outlineLvl w:val="9"/>
    </w:pPr>
    <w:rPr>
      <w:rFonts w:ascii="Garamond" w:hAnsi="Garamond"/>
      <w:sz w:val="32"/>
    </w:rPr>
  </w:style>
  <w:style w:type="paragraph" w:customStyle="1" w:styleId="AppendixNormal">
    <w:name w:val="AppendixNormal"/>
    <w:basedOn w:val="BodyText"/>
    <w:rsid w:val="00A76E9D"/>
    <w:pPr>
      <w:spacing w:after="240"/>
      <w:jc w:val="both"/>
    </w:pPr>
    <w:rPr>
      <w:rFonts w:ascii="Garamond" w:hAnsi="Garamond"/>
    </w:rPr>
  </w:style>
  <w:style w:type="paragraph" w:customStyle="1" w:styleId="MainHeadingChar">
    <w:name w:val="MainHeading Char"/>
    <w:basedOn w:val="Heading1"/>
    <w:next w:val="BodyText"/>
    <w:link w:val="MainHeadingCharChar"/>
    <w:rsid w:val="00A76E9D"/>
    <w:pPr>
      <w:keepNext w:val="0"/>
      <w:pBdr>
        <w:left w:val="single" w:sz="6" w:space="1" w:color="00257E"/>
        <w:bottom w:val="single" w:sz="6" w:space="1" w:color="00257E"/>
      </w:pBdr>
      <w:spacing w:before="0" w:after="480"/>
      <w:outlineLvl w:val="9"/>
    </w:pPr>
    <w:rPr>
      <w:rFonts w:ascii="Arial" w:hAnsi="Arial"/>
      <w:bCs w:val="0"/>
      <w:kern w:val="28"/>
      <w:sz w:val="28"/>
      <w:szCs w:val="20"/>
    </w:rPr>
  </w:style>
  <w:style w:type="paragraph" w:customStyle="1" w:styleId="HR3">
    <w:name w:val="HR3"/>
    <w:basedOn w:val="Heading4"/>
    <w:next w:val="Heading2"/>
    <w:rsid w:val="00A76E9D"/>
    <w:pPr>
      <w:keepLines w:val="0"/>
      <w:spacing w:before="240" w:after="60" w:line="240" w:lineRule="auto"/>
      <w:ind w:left="720"/>
      <w:outlineLvl w:val="9"/>
    </w:pPr>
    <w:rPr>
      <w:rFonts w:ascii="Garamond" w:eastAsia="Times New Roman" w:hAnsi="Garamond" w:cs="Times New Roman"/>
      <w:bCs w:val="0"/>
      <w:iCs w:val="0"/>
      <w:color w:val="00257E"/>
      <w:szCs w:val="20"/>
    </w:rPr>
  </w:style>
  <w:style w:type="paragraph" w:customStyle="1" w:styleId="HRsub2">
    <w:name w:val="HRsub2"/>
    <w:basedOn w:val="HR3"/>
    <w:next w:val="BodyText"/>
    <w:rsid w:val="00A76E9D"/>
  </w:style>
  <w:style w:type="paragraph" w:customStyle="1" w:styleId="HRtable">
    <w:name w:val="HRtable"/>
    <w:basedOn w:val="Heading3"/>
    <w:rsid w:val="00A76E9D"/>
    <w:pPr>
      <w:keepNext w:val="0"/>
      <w:keepLines w:val="0"/>
      <w:spacing w:before="0"/>
      <w:outlineLvl w:val="9"/>
    </w:pPr>
    <w:rPr>
      <w:rFonts w:ascii="Arial" w:hAnsi="Arial"/>
      <w:b w:val="0"/>
      <w:bCs w:val="0"/>
      <w:color w:val="000000"/>
      <w:sz w:val="22"/>
      <w:szCs w:val="20"/>
      <w:lang w:eastAsia="en-US"/>
    </w:rPr>
  </w:style>
  <w:style w:type="paragraph" w:customStyle="1" w:styleId="TableSpacer">
    <w:name w:val="TableSpacer"/>
    <w:basedOn w:val="Normal"/>
    <w:next w:val="Heading2"/>
    <w:rsid w:val="00A76E9D"/>
    <w:pPr>
      <w:spacing w:before="240"/>
    </w:pPr>
    <w:rPr>
      <w:rFonts w:ascii="Arial" w:hAnsi="Arial"/>
      <w:b/>
      <w:color w:val="FFFFFF"/>
      <w:sz w:val="28"/>
      <w:szCs w:val="20"/>
      <w:lang w:eastAsia="en-US"/>
    </w:rPr>
  </w:style>
  <w:style w:type="paragraph" w:customStyle="1" w:styleId="HRnum">
    <w:name w:val="HRnum"/>
    <w:basedOn w:val="HRbullet"/>
    <w:rsid w:val="00A76E9D"/>
    <w:pPr>
      <w:numPr>
        <w:numId w:val="0"/>
      </w:numPr>
      <w:tabs>
        <w:tab w:val="num" w:pos="720"/>
      </w:tabs>
      <w:ind w:left="1440" w:hanging="720"/>
    </w:pPr>
  </w:style>
  <w:style w:type="character" w:customStyle="1" w:styleId="BodyTextChar1">
    <w:name w:val="Body Text Char1"/>
    <w:aliases w:val="Body Text Char Char"/>
    <w:basedOn w:val="DefaultParagraphFont"/>
    <w:rsid w:val="00A76E9D"/>
    <w:rPr>
      <w:rFonts w:ascii="Garamond" w:hAnsi="Garamond"/>
      <w:sz w:val="24"/>
      <w:lang w:val="en-GB" w:eastAsia="en-US" w:bidi="ar-SA"/>
    </w:rPr>
  </w:style>
  <w:style w:type="character" w:customStyle="1" w:styleId="Heading1Char1">
    <w:name w:val="Heading 1 Char1"/>
    <w:aliases w:val="Heading 1 Char Char,HR1 Char Char"/>
    <w:basedOn w:val="DefaultParagraphFont"/>
    <w:rsid w:val="00A76E9D"/>
    <w:rPr>
      <w:rFonts w:ascii="Arial" w:hAnsi="Arial"/>
      <w:b/>
      <w:kern w:val="28"/>
      <w:sz w:val="28"/>
      <w:lang w:val="en-GB" w:eastAsia="en-US" w:bidi="ar-SA"/>
    </w:rPr>
  </w:style>
  <w:style w:type="character" w:customStyle="1" w:styleId="MainHeadingCharChar">
    <w:name w:val="MainHeading Char Char"/>
    <w:basedOn w:val="Heading1Char1"/>
    <w:link w:val="MainHeadingChar"/>
    <w:rsid w:val="00A76E9D"/>
    <w:rPr>
      <w:rFonts w:ascii="Arial" w:eastAsia="Times New Roman" w:hAnsi="Arial" w:cs="Times New Roman"/>
      <w:b/>
      <w:kern w:val="28"/>
      <w:sz w:val="28"/>
      <w:szCs w:val="20"/>
      <w:lang w:val="en-GB" w:eastAsia="en-US" w:bidi="ar-SA"/>
    </w:rPr>
  </w:style>
  <w:style w:type="character" w:customStyle="1" w:styleId="BulletHymansChar">
    <w:name w:val="Bullet Hymans Char"/>
    <w:basedOn w:val="DefaultParagraphFont"/>
    <w:link w:val="BulletHymans"/>
    <w:uiPriority w:val="2"/>
    <w:rsid w:val="00A76E9D"/>
    <w:rPr>
      <w:rFonts w:ascii="Arial" w:eastAsia="Times New Roman" w:hAnsi="Arial" w:cs="Arial"/>
      <w:iCs/>
      <w:color w:val="4B4B4B"/>
      <w:sz w:val="20"/>
      <w:szCs w:val="20"/>
    </w:rPr>
  </w:style>
  <w:style w:type="numbering" w:customStyle="1" w:styleId="HRNumber">
    <w:name w:val="HR Number"/>
    <w:uiPriority w:val="99"/>
    <w:rsid w:val="00A76E9D"/>
    <w:pPr>
      <w:numPr>
        <w:numId w:val="13"/>
      </w:numPr>
    </w:pPr>
  </w:style>
  <w:style w:type="paragraph" w:customStyle="1" w:styleId="NumberHymans">
    <w:name w:val="Number Hymans"/>
    <w:uiPriority w:val="2"/>
    <w:qFormat/>
    <w:rsid w:val="00A76E9D"/>
    <w:pPr>
      <w:numPr>
        <w:numId w:val="14"/>
      </w:numPr>
      <w:spacing w:after="140" w:line="280" w:lineRule="exact"/>
    </w:pPr>
    <w:rPr>
      <w:rFonts w:ascii="Arial" w:eastAsia="Times New Roman" w:hAnsi="Arial" w:cs="Arial"/>
      <w:iCs/>
      <w:color w:val="4B4B4B"/>
      <w:sz w:val="20"/>
      <w:szCs w:val="20"/>
    </w:rPr>
  </w:style>
  <w:style w:type="numbering" w:customStyle="1" w:styleId="NoList1">
    <w:name w:val="No List1"/>
    <w:next w:val="NoList"/>
    <w:uiPriority w:val="99"/>
    <w:semiHidden/>
    <w:unhideWhenUsed/>
    <w:rsid w:val="00A76E9D"/>
  </w:style>
  <w:style w:type="table" w:customStyle="1" w:styleId="TableGrid1">
    <w:name w:val="Table Grid1"/>
    <w:basedOn w:val="TableNormal"/>
    <w:next w:val="TableGrid"/>
    <w:uiPriority w:val="99"/>
    <w:rsid w:val="00A76E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
    <w:name w:val="Body Text Num"/>
    <w:basedOn w:val="BodyText"/>
    <w:rsid w:val="00A76E9D"/>
    <w:pPr>
      <w:spacing w:before="20" w:after="200" w:line="280" w:lineRule="atLeast"/>
    </w:pPr>
    <w:rPr>
      <w:rFonts w:ascii="Arial" w:hAnsi="Arial" w:cs="Arial"/>
      <w:iCs/>
      <w:color w:val="4B4B4B"/>
      <w:sz w:val="20"/>
    </w:rPr>
  </w:style>
  <w:style w:type="paragraph" w:customStyle="1" w:styleId="NumberedParagraph">
    <w:name w:val="Numbered Paragraph"/>
    <w:basedOn w:val="Heading2"/>
    <w:rsid w:val="00A76E9D"/>
    <w:pPr>
      <w:numPr>
        <w:numId w:val="0"/>
      </w:numPr>
      <w:tabs>
        <w:tab w:val="num" w:pos="720"/>
      </w:tabs>
    </w:pPr>
    <w:rPr>
      <w:rFonts w:ascii="Arial" w:hAnsi="Arial" w:cs="Arial"/>
      <w:b w:val="0"/>
      <w:szCs w:val="24"/>
    </w:rPr>
  </w:style>
  <w:style w:type="paragraph" w:customStyle="1" w:styleId="text">
    <w:name w:val="text"/>
    <w:basedOn w:val="Normal"/>
    <w:rsid w:val="00A76E9D"/>
    <w:pPr>
      <w:spacing w:before="100" w:beforeAutospacing="1" w:after="100" w:afterAutospacing="1"/>
    </w:pPr>
    <w:rPr>
      <w:rFonts w:ascii="Arial" w:hAnsi="Arial" w:cs="Arial"/>
      <w:color w:val="666666"/>
      <w:sz w:val="20"/>
      <w:szCs w:val="20"/>
    </w:rPr>
  </w:style>
  <w:style w:type="paragraph" w:customStyle="1" w:styleId="hBullet2">
    <w:name w:val="hBullet2"/>
    <w:basedOn w:val="BodyText"/>
    <w:rsid w:val="00A76E9D"/>
    <w:pPr>
      <w:widowControl w:val="0"/>
      <w:numPr>
        <w:numId w:val="16"/>
      </w:numPr>
      <w:tabs>
        <w:tab w:val="clear" w:pos="1418"/>
        <w:tab w:val="num" w:pos="360"/>
      </w:tabs>
      <w:spacing w:before="120" w:line="280" w:lineRule="atLeast"/>
      <w:ind w:left="0" w:firstLine="0"/>
    </w:pPr>
    <w:rPr>
      <w:rFonts w:ascii="Arial" w:hAnsi="Arial"/>
      <w:color w:val="4B4B4B"/>
      <w:sz w:val="20"/>
      <w:szCs w:val="24"/>
    </w:rPr>
  </w:style>
  <w:style w:type="paragraph" w:customStyle="1" w:styleId="hBullet1">
    <w:name w:val="hBullet1"/>
    <w:basedOn w:val="BodyText"/>
    <w:rsid w:val="00A76E9D"/>
    <w:pPr>
      <w:widowControl w:val="0"/>
      <w:numPr>
        <w:numId w:val="17"/>
      </w:numPr>
      <w:tabs>
        <w:tab w:val="clear" w:pos="851"/>
        <w:tab w:val="num" w:pos="360"/>
      </w:tabs>
      <w:spacing w:before="120" w:line="280" w:lineRule="atLeast"/>
      <w:ind w:left="0" w:firstLine="0"/>
    </w:pPr>
    <w:rPr>
      <w:rFonts w:ascii="Arial" w:hAnsi="Arial"/>
      <w:color w:val="4B4B4B"/>
      <w:sz w:val="20"/>
      <w:szCs w:val="24"/>
    </w:rPr>
  </w:style>
  <w:style w:type="character" w:customStyle="1" w:styleId="Mention1">
    <w:name w:val="Mention1"/>
    <w:basedOn w:val="DefaultParagraphFont"/>
    <w:uiPriority w:val="99"/>
    <w:semiHidden/>
    <w:unhideWhenUsed/>
    <w:rsid w:val="00A76E9D"/>
    <w:rPr>
      <w:color w:val="2B579A"/>
      <w:shd w:val="clear" w:color="auto" w:fill="E6E6E6"/>
    </w:rPr>
  </w:style>
  <w:style w:type="paragraph" w:customStyle="1" w:styleId="Appendix2">
    <w:name w:val="Appendix 2"/>
    <w:basedOn w:val="Heading2"/>
    <w:next w:val="BodyTextGrey"/>
    <w:uiPriority w:val="3"/>
    <w:qFormat/>
    <w:rsid w:val="00A76E9D"/>
    <w:pPr>
      <w:keepLines/>
      <w:numPr>
        <w:numId w:val="0"/>
      </w:numPr>
      <w:spacing w:line="280" w:lineRule="atLeast"/>
    </w:pPr>
    <w:rPr>
      <w:rFonts w:ascii="Arial" w:hAnsi="Arial" w:cs="Arial"/>
      <w:iCs/>
      <w:color w:val="4472C4" w:themeColor="accent1"/>
      <w:sz w:val="20"/>
      <w:szCs w:val="22"/>
    </w:rPr>
  </w:style>
  <w:style w:type="paragraph" w:customStyle="1" w:styleId="Appendix3">
    <w:name w:val="Appendix 3"/>
    <w:basedOn w:val="Heading3"/>
    <w:next w:val="BodyTextGrey"/>
    <w:uiPriority w:val="3"/>
    <w:qFormat/>
    <w:rsid w:val="00A76E9D"/>
    <w:pPr>
      <w:spacing w:before="20" w:after="20" w:line="280" w:lineRule="atLeast"/>
    </w:pPr>
    <w:rPr>
      <w:rFonts w:ascii="Arial" w:hAnsi="Arial" w:cs="Arial"/>
      <w:bCs w:val="0"/>
      <w:iCs/>
      <w:color w:val="000000" w:themeColor="text1"/>
      <w:sz w:val="20"/>
      <w:szCs w:val="20"/>
      <w:lang w:eastAsia="en-US"/>
    </w:rPr>
  </w:style>
  <w:style w:type="paragraph" w:customStyle="1" w:styleId="FooterText">
    <w:name w:val="Footer Text"/>
    <w:basedOn w:val="Normal"/>
    <w:uiPriority w:val="4"/>
    <w:rsid w:val="00A76E9D"/>
    <w:pPr>
      <w:keepLines/>
      <w:pBdr>
        <w:top w:val="single" w:sz="2" w:space="4" w:color="646464"/>
      </w:pBdr>
      <w:spacing w:before="20" w:line="280" w:lineRule="atLeast"/>
      <w:ind w:left="-425"/>
    </w:pPr>
    <w:rPr>
      <w:rFonts w:ascii="Arial" w:hAnsi="Arial" w:cs="Arial"/>
      <w:iCs/>
      <w:color w:val="4B4B4B"/>
      <w:sz w:val="20"/>
      <w:szCs w:val="20"/>
    </w:rPr>
  </w:style>
  <w:style w:type="paragraph" w:customStyle="1" w:styleId="FreedomHeading">
    <w:name w:val="Freedom Heading"/>
    <w:basedOn w:val="Heading1"/>
    <w:next w:val="Normal"/>
    <w:uiPriority w:val="4"/>
    <w:rsid w:val="00A76E9D"/>
    <w:pPr>
      <w:keepLines/>
      <w:spacing w:before="140" w:after="140" w:line="360" w:lineRule="atLeast"/>
    </w:pPr>
    <w:rPr>
      <w:rFonts w:ascii="Arial" w:hAnsi="Arial"/>
      <w:b w:val="0"/>
      <w:bCs w:val="0"/>
      <w:caps/>
      <w:color w:val="40A6CC"/>
      <w:kern w:val="28"/>
      <w:sz w:val="36"/>
      <w:szCs w:val="20"/>
    </w:rPr>
  </w:style>
  <w:style w:type="paragraph" w:customStyle="1" w:styleId="hBullets">
    <w:name w:val="hBullets"/>
    <w:uiPriority w:val="3"/>
    <w:rsid w:val="00A76E9D"/>
    <w:pPr>
      <w:numPr>
        <w:numId w:val="18"/>
      </w:numPr>
      <w:spacing w:before="20" w:after="20" w:line="280" w:lineRule="atLeast"/>
    </w:pPr>
    <w:rPr>
      <w:rFonts w:ascii="Arial" w:eastAsia="Times New Roman" w:hAnsi="Arial" w:cs="Times New Roman"/>
      <w:color w:val="4B4B4B"/>
      <w:sz w:val="20"/>
      <w:szCs w:val="24"/>
      <w:lang w:eastAsia="en-GB"/>
    </w:rPr>
  </w:style>
  <w:style w:type="paragraph" w:customStyle="1" w:styleId="Heading1Num">
    <w:name w:val="Heading 1 Num"/>
    <w:basedOn w:val="Heading1"/>
    <w:next w:val="BodyTextGrey"/>
    <w:uiPriority w:val="1"/>
    <w:qFormat/>
    <w:rsid w:val="00A76E9D"/>
    <w:pPr>
      <w:keepLines/>
      <w:numPr>
        <w:numId w:val="21"/>
      </w:numPr>
      <w:spacing w:before="140" w:after="140" w:line="360" w:lineRule="atLeast"/>
    </w:pPr>
    <w:rPr>
      <w:rFonts w:ascii="Arial" w:hAnsi="Arial"/>
      <w:b w:val="0"/>
      <w:bCs w:val="0"/>
      <w:color w:val="3FA6CC"/>
      <w:kern w:val="28"/>
      <w:sz w:val="36"/>
      <w:szCs w:val="20"/>
    </w:rPr>
  </w:style>
  <w:style w:type="paragraph" w:customStyle="1" w:styleId="Heading2Num">
    <w:name w:val="Heading 2 Num"/>
    <w:basedOn w:val="Heading2"/>
    <w:next w:val="BodyTextGrey"/>
    <w:uiPriority w:val="1"/>
    <w:qFormat/>
    <w:rsid w:val="00A76E9D"/>
    <w:pPr>
      <w:keepLines/>
      <w:numPr>
        <w:ilvl w:val="1"/>
        <w:numId w:val="21"/>
      </w:numPr>
      <w:spacing w:line="280" w:lineRule="atLeast"/>
    </w:pPr>
    <w:rPr>
      <w:rFonts w:ascii="Arial" w:hAnsi="Arial" w:cs="Arial"/>
      <w:iCs/>
      <w:color w:val="4472C4" w:themeColor="accent1"/>
      <w:sz w:val="20"/>
    </w:rPr>
  </w:style>
  <w:style w:type="paragraph" w:customStyle="1" w:styleId="Heading3Num">
    <w:name w:val="Heading 3 Num"/>
    <w:basedOn w:val="Heading3"/>
    <w:next w:val="BodyTextGrey"/>
    <w:uiPriority w:val="1"/>
    <w:qFormat/>
    <w:rsid w:val="00A76E9D"/>
    <w:pPr>
      <w:numPr>
        <w:ilvl w:val="2"/>
        <w:numId w:val="21"/>
      </w:numPr>
      <w:spacing w:before="20" w:after="20" w:line="280" w:lineRule="atLeast"/>
    </w:pPr>
    <w:rPr>
      <w:rFonts w:ascii="Arial" w:hAnsi="Arial" w:cs="Arial"/>
      <w:bCs w:val="0"/>
      <w:iCs/>
      <w:color w:val="000000" w:themeColor="text1"/>
      <w:sz w:val="20"/>
      <w:szCs w:val="20"/>
      <w:lang w:eastAsia="en-US"/>
    </w:rPr>
  </w:style>
  <w:style w:type="paragraph" w:customStyle="1" w:styleId="hNumber1">
    <w:name w:val="hNumber1"/>
    <w:rsid w:val="00A76E9D"/>
    <w:pPr>
      <w:widowControl w:val="0"/>
      <w:numPr>
        <w:numId w:val="19"/>
      </w:numPr>
      <w:spacing w:before="20" w:after="20" w:line="280" w:lineRule="atLeast"/>
    </w:pPr>
    <w:rPr>
      <w:rFonts w:ascii="Arial" w:eastAsia="Times New Roman" w:hAnsi="Arial" w:cs="Times New Roman"/>
      <w:color w:val="4B4B4B"/>
      <w:sz w:val="20"/>
      <w:szCs w:val="24"/>
      <w:lang w:eastAsia="en-GB"/>
    </w:rPr>
  </w:style>
  <w:style w:type="paragraph" w:customStyle="1" w:styleId="HymanHeader">
    <w:name w:val="HymanHeader"/>
    <w:basedOn w:val="Normal"/>
    <w:uiPriority w:val="3"/>
    <w:rsid w:val="00A76E9D"/>
    <w:pPr>
      <w:pBdr>
        <w:top w:val="single" w:sz="2" w:space="4" w:color="646464"/>
      </w:pBdr>
      <w:spacing w:before="20" w:after="200" w:line="280" w:lineRule="atLeast"/>
      <w:ind w:left="-425"/>
    </w:pPr>
    <w:rPr>
      <w:rFonts w:ascii="Arial" w:hAnsi="Arial" w:cs="Arial"/>
      <w:iCs/>
      <w:color w:val="4B4B4B"/>
      <w:sz w:val="20"/>
      <w:szCs w:val="20"/>
      <w:lang w:val="fr-FR"/>
    </w:rPr>
  </w:style>
  <w:style w:type="paragraph" w:customStyle="1" w:styleId="LetterDate">
    <w:name w:val="Letter Date"/>
    <w:basedOn w:val="Normal"/>
    <w:uiPriority w:val="3"/>
    <w:rsid w:val="00A76E9D"/>
    <w:pPr>
      <w:spacing w:before="480" w:after="480" w:line="280" w:lineRule="atLeast"/>
    </w:pPr>
    <w:rPr>
      <w:rFonts w:ascii="Arial" w:hAnsi="Arial"/>
      <w:iCs/>
      <w:color w:val="646464"/>
      <w:sz w:val="20"/>
      <w:szCs w:val="28"/>
    </w:rPr>
  </w:style>
  <w:style w:type="paragraph" w:customStyle="1" w:styleId="ListBullet-Hymans">
    <w:name w:val="List Bullet - Hymans"/>
    <w:basedOn w:val="Normal"/>
    <w:uiPriority w:val="3"/>
    <w:rsid w:val="00A76E9D"/>
    <w:pPr>
      <w:tabs>
        <w:tab w:val="num" w:pos="360"/>
      </w:tabs>
      <w:spacing w:before="20" w:line="280" w:lineRule="atLeast"/>
      <w:ind w:left="360" w:hanging="360"/>
      <w:jc w:val="both"/>
    </w:pPr>
    <w:rPr>
      <w:rFonts w:ascii="Arial" w:hAnsi="Arial" w:cs="Arial"/>
      <w:iCs/>
      <w:color w:val="000000" w:themeColor="text1"/>
      <w:sz w:val="20"/>
      <w:szCs w:val="20"/>
    </w:rPr>
  </w:style>
  <w:style w:type="paragraph" w:customStyle="1" w:styleId="NormalLeft">
    <w:name w:val="Normal Left"/>
    <w:basedOn w:val="Normal"/>
    <w:uiPriority w:val="3"/>
    <w:rsid w:val="00A76E9D"/>
    <w:pPr>
      <w:spacing w:before="20" w:line="280" w:lineRule="atLeast"/>
      <w:ind w:left="-400"/>
      <w:jc w:val="both"/>
    </w:pPr>
    <w:rPr>
      <w:rFonts w:ascii="Arial" w:hAnsi="Arial"/>
      <w:iCs/>
      <w:color w:val="000000" w:themeColor="text1"/>
      <w:sz w:val="20"/>
      <w:szCs w:val="20"/>
    </w:rPr>
  </w:style>
  <w:style w:type="paragraph" w:customStyle="1" w:styleId="Signatory">
    <w:name w:val="Signatory"/>
    <w:basedOn w:val="Normal"/>
    <w:uiPriority w:val="3"/>
    <w:rsid w:val="00A76E9D"/>
    <w:pPr>
      <w:spacing w:before="20" w:after="200" w:line="280" w:lineRule="atLeast"/>
    </w:pPr>
    <w:rPr>
      <w:rFonts w:ascii="Arial" w:hAnsi="Arial" w:cs="Arial"/>
      <w:iCs/>
      <w:sz w:val="16"/>
      <w:szCs w:val="20"/>
    </w:rPr>
  </w:style>
  <w:style w:type="paragraph" w:customStyle="1" w:styleId="StyleLeft45cm">
    <w:name w:val="Style Left:  4.5 cm"/>
    <w:basedOn w:val="Normal"/>
    <w:uiPriority w:val="3"/>
    <w:rsid w:val="00A76E9D"/>
    <w:pPr>
      <w:spacing w:before="20" w:line="280" w:lineRule="atLeast"/>
      <w:ind w:left="2552"/>
      <w:jc w:val="both"/>
    </w:pPr>
    <w:rPr>
      <w:rFonts w:ascii="Arial" w:hAnsi="Arial"/>
      <w:iCs/>
      <w:color w:val="000000" w:themeColor="text1"/>
      <w:sz w:val="20"/>
      <w:szCs w:val="20"/>
    </w:rPr>
  </w:style>
  <w:style w:type="paragraph" w:customStyle="1" w:styleId="StyleTenderVerticalSmallLeftBefore1ptAfter1pt">
    <w:name w:val="Style Tender Vertical Small + Left Before:  1 pt After:  1 pt"/>
    <w:basedOn w:val="TenderVerticalSmall"/>
    <w:uiPriority w:val="3"/>
    <w:rsid w:val="00A76E9D"/>
    <w:pPr>
      <w:spacing w:after="20"/>
      <w:jc w:val="left"/>
    </w:pPr>
    <w:rPr>
      <w:rFonts w:cs="Times New Roman"/>
      <w:iCs w:val="0"/>
      <w:szCs w:val="20"/>
    </w:rPr>
  </w:style>
  <w:style w:type="paragraph" w:customStyle="1" w:styleId="TableColumn1">
    <w:name w:val="Table Column1"/>
    <w:basedOn w:val="TableHeader"/>
    <w:autoRedefine/>
    <w:uiPriority w:val="3"/>
    <w:rsid w:val="00A76E9D"/>
  </w:style>
  <w:style w:type="paragraph" w:customStyle="1" w:styleId="TableHeader">
    <w:name w:val="Table Header"/>
    <w:basedOn w:val="TableText0"/>
    <w:uiPriority w:val="3"/>
    <w:rsid w:val="00A76E9D"/>
    <w:pPr>
      <w:spacing w:after="20"/>
    </w:pPr>
    <w:rPr>
      <w:color w:val="FFFFFF"/>
    </w:rPr>
  </w:style>
  <w:style w:type="paragraph" w:customStyle="1" w:styleId="TableText0">
    <w:name w:val="Table Text"/>
    <w:basedOn w:val="Normal"/>
    <w:uiPriority w:val="3"/>
    <w:rsid w:val="00A76E9D"/>
    <w:pPr>
      <w:spacing w:before="20" w:after="200" w:line="280" w:lineRule="atLeast"/>
    </w:pPr>
    <w:rPr>
      <w:rFonts w:ascii="Arial" w:hAnsi="Arial" w:cs="Arial"/>
      <w:iCs/>
      <w:sz w:val="20"/>
      <w:szCs w:val="20"/>
    </w:rPr>
  </w:style>
  <w:style w:type="paragraph" w:customStyle="1" w:styleId="TableHeaderText-Hymans">
    <w:name w:val="TableHeaderText - Hymans"/>
    <w:basedOn w:val="Normal"/>
    <w:uiPriority w:val="3"/>
    <w:rsid w:val="00A76E9D"/>
    <w:pPr>
      <w:spacing w:before="20" w:line="280" w:lineRule="atLeast"/>
      <w:jc w:val="both"/>
    </w:pPr>
    <w:rPr>
      <w:iCs/>
      <w:color w:val="000000" w:themeColor="text1"/>
    </w:rPr>
  </w:style>
  <w:style w:type="paragraph" w:customStyle="1" w:styleId="TableText-Hymans">
    <w:name w:val="TableText - Hymans"/>
    <w:basedOn w:val="Normal"/>
    <w:uiPriority w:val="3"/>
    <w:rsid w:val="00A76E9D"/>
    <w:pPr>
      <w:spacing w:before="20" w:line="280" w:lineRule="atLeast"/>
      <w:jc w:val="both"/>
    </w:pPr>
    <w:rPr>
      <w:iCs/>
      <w:color w:val="000000" w:themeColor="text1"/>
    </w:rPr>
  </w:style>
  <w:style w:type="paragraph" w:customStyle="1" w:styleId="TenderAppendix">
    <w:name w:val="Tender Appendix"/>
    <w:next w:val="Normal"/>
    <w:uiPriority w:val="3"/>
    <w:rsid w:val="00A76E9D"/>
    <w:pPr>
      <w:keepNext/>
      <w:keepLines/>
      <w:spacing w:before="20" w:after="0" w:line="240" w:lineRule="auto"/>
    </w:pPr>
    <w:rPr>
      <w:rFonts w:ascii="Arial" w:eastAsia="Times New Roman" w:hAnsi="Arial" w:cs="Times New Roman"/>
      <w:caps/>
      <w:color w:val="40A6CC"/>
      <w:sz w:val="36"/>
      <w:szCs w:val="20"/>
      <w:lang w:eastAsia="en-GB"/>
    </w:rPr>
  </w:style>
  <w:style w:type="paragraph" w:customStyle="1" w:styleId="TenderBluetext">
    <w:name w:val="Tender Blue text"/>
    <w:basedOn w:val="Normal"/>
    <w:rsid w:val="00A76E9D"/>
    <w:pPr>
      <w:tabs>
        <w:tab w:val="right" w:pos="6271"/>
      </w:tabs>
      <w:spacing w:before="120" w:line="280" w:lineRule="atLeast"/>
    </w:pPr>
    <w:rPr>
      <w:rFonts w:ascii="Arial" w:hAnsi="Arial"/>
      <w:color w:val="3FA6CC"/>
      <w:sz w:val="20"/>
      <w:szCs w:val="20"/>
    </w:rPr>
  </w:style>
  <w:style w:type="paragraph" w:customStyle="1" w:styleId="TenderBullet">
    <w:name w:val="Tender Bullet"/>
    <w:basedOn w:val="Normal"/>
    <w:uiPriority w:val="3"/>
    <w:rsid w:val="00A76E9D"/>
    <w:pPr>
      <w:tabs>
        <w:tab w:val="num" w:pos="360"/>
      </w:tabs>
      <w:spacing w:before="20" w:after="240" w:line="280" w:lineRule="atLeast"/>
      <w:ind w:left="360" w:right="-3" w:hanging="360"/>
      <w:jc w:val="both"/>
    </w:pPr>
    <w:rPr>
      <w:rFonts w:ascii="Arial" w:hAnsi="Arial" w:cs="Arial"/>
      <w:b/>
      <w:iCs/>
      <w:color w:val="000000" w:themeColor="text1"/>
      <w:sz w:val="20"/>
      <w:szCs w:val="20"/>
    </w:rPr>
  </w:style>
  <w:style w:type="paragraph" w:customStyle="1" w:styleId="TenderH1">
    <w:name w:val="Tender H1"/>
    <w:next w:val="Normal"/>
    <w:uiPriority w:val="3"/>
    <w:rsid w:val="00A76E9D"/>
    <w:pPr>
      <w:keepNext/>
      <w:keepLines/>
      <w:tabs>
        <w:tab w:val="num" w:pos="0"/>
      </w:tabs>
      <w:spacing w:before="20" w:after="360" w:line="240" w:lineRule="auto"/>
      <w:ind w:hanging="403"/>
    </w:pPr>
    <w:rPr>
      <w:rFonts w:ascii="Arial" w:eastAsia="Times New Roman" w:hAnsi="Arial" w:cs="Times New Roman"/>
      <w:caps/>
      <w:color w:val="40A6CC"/>
      <w:sz w:val="36"/>
      <w:szCs w:val="20"/>
      <w:lang w:eastAsia="en-GB"/>
    </w:rPr>
  </w:style>
  <w:style w:type="paragraph" w:customStyle="1" w:styleId="TenderH2">
    <w:name w:val="Tender H2"/>
    <w:basedOn w:val="Normal"/>
    <w:next w:val="Normal"/>
    <w:uiPriority w:val="3"/>
    <w:rsid w:val="00A76E9D"/>
    <w:pPr>
      <w:keepNext/>
      <w:keepLines/>
      <w:tabs>
        <w:tab w:val="num" w:pos="0"/>
      </w:tabs>
      <w:spacing w:before="20" w:line="280" w:lineRule="atLeast"/>
      <w:jc w:val="both"/>
    </w:pPr>
    <w:rPr>
      <w:rFonts w:ascii="Arial" w:hAnsi="Arial" w:cs="Arial"/>
      <w:iCs/>
      <w:caps/>
      <w:color w:val="F06A00"/>
      <w:sz w:val="20"/>
      <w:szCs w:val="20"/>
    </w:rPr>
  </w:style>
  <w:style w:type="paragraph" w:customStyle="1" w:styleId="TenderIntro">
    <w:name w:val="Tender Intro"/>
    <w:uiPriority w:val="3"/>
    <w:rsid w:val="00A76E9D"/>
    <w:pPr>
      <w:spacing w:before="20" w:after="360" w:line="240" w:lineRule="auto"/>
      <w:ind w:left="-403"/>
    </w:pPr>
    <w:rPr>
      <w:rFonts w:ascii="Arial" w:eastAsia="Times New Roman" w:hAnsi="Arial" w:cs="Times New Roman"/>
      <w:caps/>
      <w:color w:val="40A6CC"/>
      <w:sz w:val="36"/>
      <w:szCs w:val="20"/>
      <w:lang w:eastAsia="en-GB"/>
    </w:rPr>
  </w:style>
  <w:style w:type="paragraph" w:customStyle="1" w:styleId="TenderQuestion">
    <w:name w:val="Tender Question"/>
    <w:next w:val="BodyTextGrey"/>
    <w:qFormat/>
    <w:rsid w:val="00A76E9D"/>
    <w:pPr>
      <w:numPr>
        <w:numId w:val="20"/>
      </w:numPr>
      <w:tabs>
        <w:tab w:val="left" w:pos="567"/>
      </w:tabs>
      <w:spacing w:before="20" w:after="20" w:line="240" w:lineRule="auto"/>
    </w:pPr>
    <w:rPr>
      <w:rFonts w:ascii="Arial" w:eastAsia="Times New Roman" w:hAnsi="Arial" w:cs="Arial"/>
      <w:iCs/>
      <w:color w:val="3FA6CC"/>
      <w:sz w:val="20"/>
      <w:szCs w:val="20"/>
    </w:rPr>
  </w:style>
  <w:style w:type="paragraph" w:customStyle="1" w:styleId="TenderTableHeader">
    <w:name w:val="Tender Table Header"/>
    <w:basedOn w:val="Normal"/>
    <w:uiPriority w:val="3"/>
    <w:rsid w:val="00A76E9D"/>
    <w:pPr>
      <w:spacing w:before="20" w:line="280" w:lineRule="atLeast"/>
      <w:jc w:val="both"/>
    </w:pPr>
    <w:rPr>
      <w:rFonts w:ascii="Arial" w:hAnsi="Arial" w:cs="Arial"/>
      <w:iCs/>
      <w:color w:val="FFFFFF"/>
      <w:sz w:val="20"/>
      <w:szCs w:val="20"/>
    </w:rPr>
  </w:style>
  <w:style w:type="paragraph" w:customStyle="1" w:styleId="TenderVerticalBigBlue">
    <w:name w:val="Tender Vertical Big Blue"/>
    <w:uiPriority w:val="3"/>
    <w:rsid w:val="00A76E9D"/>
    <w:pPr>
      <w:tabs>
        <w:tab w:val="right" w:pos="9180"/>
      </w:tabs>
      <w:spacing w:before="20" w:after="0" w:line="280" w:lineRule="atLeast"/>
    </w:pPr>
    <w:rPr>
      <w:rFonts w:ascii="Arial" w:eastAsia="Times New Roman" w:hAnsi="Arial" w:cs="Arial"/>
      <w:iCs/>
      <w:caps/>
      <w:color w:val="40A6CC"/>
      <w:sz w:val="112"/>
      <w:szCs w:val="112"/>
      <w:lang w:eastAsia="en-GB"/>
    </w:rPr>
  </w:style>
  <w:style w:type="paragraph" w:customStyle="1" w:styleId="TenderVerticalSmall">
    <w:name w:val="Tender Vertical Small"/>
    <w:basedOn w:val="Normal"/>
    <w:uiPriority w:val="3"/>
    <w:rsid w:val="00A76E9D"/>
    <w:pPr>
      <w:tabs>
        <w:tab w:val="right" w:pos="9180"/>
      </w:tabs>
      <w:spacing w:before="20" w:line="280" w:lineRule="atLeast"/>
      <w:jc w:val="both"/>
    </w:pPr>
    <w:rPr>
      <w:rFonts w:ascii="Arial" w:hAnsi="Arial" w:cs="Arial"/>
      <w:iCs/>
      <w:caps/>
      <w:color w:val="646464"/>
      <w:sz w:val="36"/>
      <w:szCs w:val="36"/>
    </w:rPr>
  </w:style>
  <w:style w:type="paragraph" w:customStyle="1" w:styleId="Action">
    <w:name w:val="Action"/>
    <w:basedOn w:val="Normal"/>
    <w:link w:val="ActionChar"/>
    <w:uiPriority w:val="3"/>
    <w:rsid w:val="00A76E9D"/>
    <w:pPr>
      <w:spacing w:before="20" w:after="200" w:line="280" w:lineRule="atLeast"/>
    </w:pPr>
    <w:rPr>
      <w:rFonts w:ascii="Arial" w:hAnsi="Arial" w:cs="Arial"/>
      <w:iCs/>
      <w:color w:val="3FA6CC"/>
      <w:sz w:val="20"/>
      <w:szCs w:val="20"/>
    </w:rPr>
  </w:style>
  <w:style w:type="character" w:customStyle="1" w:styleId="ActionChar">
    <w:name w:val="Action Char"/>
    <w:basedOn w:val="DefaultParagraphFont"/>
    <w:link w:val="Action"/>
    <w:uiPriority w:val="3"/>
    <w:rsid w:val="00A76E9D"/>
    <w:rPr>
      <w:rFonts w:ascii="Arial" w:eastAsia="Times New Roman" w:hAnsi="Arial" w:cs="Arial"/>
      <w:iCs/>
      <w:color w:val="3FA6CC"/>
      <w:sz w:val="20"/>
      <w:szCs w:val="20"/>
      <w:lang w:eastAsia="en-GB"/>
    </w:rPr>
  </w:style>
  <w:style w:type="table" w:customStyle="1" w:styleId="LightShading-Accent11">
    <w:name w:val="Light Shading - Accent 11"/>
    <w:aliases w:val="serena"/>
    <w:basedOn w:val="TableNormal"/>
    <w:uiPriority w:val="60"/>
    <w:rsid w:val="00A76E9D"/>
    <w:pPr>
      <w:spacing w:before="20" w:after="0" w:line="240" w:lineRule="auto"/>
    </w:pPr>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8" w:space="0" w:color="4472C4" w:themeColor="accent1"/>
        <w:bottom w:val="single" w:sz="8" w:space="0" w:color="4472C4" w:themeColor="accent1"/>
      </w:tblBorders>
    </w:tblPr>
    <w:tcPr>
      <w:shd w:val="clear" w:color="auto" w:fill="auto"/>
    </w:tcPr>
    <w:tblStylePr w:type="firstRow">
      <w:pPr>
        <w:spacing w:before="0" w:after="0" w:line="240" w:lineRule="auto"/>
      </w:pPr>
      <w:rPr>
        <w:b/>
        <w:bCs/>
        <w:color w:val="auto"/>
      </w:rPr>
      <w:tblPr/>
      <w:tcPr>
        <w:shd w:val="clear" w:color="auto" w:fill="222A35" w:themeFill="text2" w:themeFillShade="80"/>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5">
    <w:name w:val="Light Shading Accent 5"/>
    <w:basedOn w:val="TableNormal"/>
    <w:uiPriority w:val="60"/>
    <w:rsid w:val="00A76E9D"/>
    <w:pPr>
      <w:spacing w:before="20" w:after="0" w:line="240" w:lineRule="auto"/>
    </w:pPr>
    <w:rPr>
      <w:rFonts w:ascii="Times New Roman" w:eastAsia="Times New Roman" w:hAnsi="Times New Roman" w:cs="Times New Roman"/>
      <w:color w:val="2E74B5" w:themeColor="accent5" w:themeShade="BF"/>
      <w:sz w:val="20"/>
      <w:szCs w:val="20"/>
      <w:lang w:eastAsia="en-GB"/>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Caption">
    <w:name w:val="caption"/>
    <w:basedOn w:val="Normal"/>
    <w:next w:val="Normal"/>
    <w:uiPriority w:val="4"/>
    <w:rsid w:val="00A76E9D"/>
    <w:pPr>
      <w:spacing w:before="120" w:after="120" w:line="280" w:lineRule="atLeast"/>
      <w:jc w:val="both"/>
    </w:pPr>
    <w:rPr>
      <w:rFonts w:ascii="Arial" w:hAnsi="Arial" w:cs="Arial"/>
      <w:bCs/>
      <w:iCs/>
      <w:color w:val="000000" w:themeColor="text1"/>
      <w:sz w:val="20"/>
      <w:szCs w:val="20"/>
    </w:rPr>
  </w:style>
  <w:style w:type="paragraph" w:customStyle="1" w:styleId="OrangeTitle">
    <w:name w:val="OrangeTitle"/>
    <w:basedOn w:val="Normal"/>
    <w:uiPriority w:val="3"/>
    <w:rsid w:val="00A76E9D"/>
    <w:pPr>
      <w:spacing w:before="20" w:after="60" w:line="280" w:lineRule="atLeast"/>
    </w:pPr>
    <w:rPr>
      <w:rFonts w:ascii="Arial" w:hAnsi="Arial" w:cs="Arial"/>
      <w:iCs/>
      <w:caps/>
      <w:color w:val="F06A00"/>
      <w:sz w:val="20"/>
      <w:szCs w:val="20"/>
    </w:rPr>
  </w:style>
  <w:style w:type="paragraph" w:customStyle="1" w:styleId="ReportDate">
    <w:name w:val="ReportDate"/>
    <w:basedOn w:val="Normal"/>
    <w:next w:val="Normal"/>
    <w:uiPriority w:val="3"/>
    <w:rsid w:val="00A76E9D"/>
    <w:pPr>
      <w:framePr w:w="2030" w:hSpace="187" w:wrap="auto" w:vAnchor="page" w:hAnchor="page" w:x="8699" w:y="13249" w:anchorLock="1"/>
      <w:spacing w:before="20"/>
      <w:jc w:val="right"/>
    </w:pPr>
    <w:rPr>
      <w:rFonts w:ascii="Arial" w:hAnsi="Arial" w:cs="Arial"/>
      <w:b/>
      <w:noProof/>
      <w:sz w:val="18"/>
      <w:szCs w:val="20"/>
    </w:rPr>
  </w:style>
  <w:style w:type="paragraph" w:styleId="TableofFigures">
    <w:name w:val="table of figures"/>
    <w:basedOn w:val="Normal"/>
    <w:next w:val="Normal"/>
    <w:semiHidden/>
    <w:rsid w:val="00A76E9D"/>
    <w:pPr>
      <w:spacing w:before="20" w:line="280" w:lineRule="atLeast"/>
      <w:jc w:val="both"/>
    </w:pPr>
    <w:rPr>
      <w:rFonts w:ascii="Arial" w:hAnsi="Arial" w:cs="Arial"/>
      <w:iCs/>
      <w:color w:val="000000" w:themeColor="text1"/>
      <w:sz w:val="20"/>
      <w:szCs w:val="20"/>
    </w:rPr>
  </w:style>
  <w:style w:type="paragraph" w:styleId="NoSpacing">
    <w:name w:val="No Spacing"/>
    <w:uiPriority w:val="3"/>
    <w:rsid w:val="00A76E9D"/>
    <w:pPr>
      <w:spacing w:before="20" w:after="0" w:line="240" w:lineRule="auto"/>
      <w:jc w:val="both"/>
    </w:pPr>
    <w:rPr>
      <w:rFonts w:ascii="Arial" w:eastAsia="Times New Roman" w:hAnsi="Arial" w:cs="Arial"/>
      <w:iCs/>
      <w:color w:val="4B4B4B"/>
      <w:sz w:val="20"/>
      <w:szCs w:val="20"/>
      <w:lang w:eastAsia="en-GB"/>
    </w:rPr>
  </w:style>
  <w:style w:type="table" w:styleId="MediumGrid3-Accent2">
    <w:name w:val="Medium Grid 3 Accent 2"/>
    <w:basedOn w:val="TableNormal"/>
    <w:uiPriority w:val="69"/>
    <w:rsid w:val="00A76E9D"/>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Shading1-Accent4">
    <w:name w:val="Medium Shading 1 Accent 4"/>
    <w:basedOn w:val="TableNormal"/>
    <w:uiPriority w:val="63"/>
    <w:rsid w:val="00A76E9D"/>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76E9D"/>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rFonts w:ascii="Arial" w:hAnsi="Arial"/>
        <w:b/>
        <w:bCs/>
        <w:i w:val="0"/>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76E9D"/>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A76E9D"/>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3">
    <w:name w:val="Dark List Accent 3"/>
    <w:basedOn w:val="TableNormal"/>
    <w:uiPriority w:val="70"/>
    <w:rsid w:val="00A76E9D"/>
    <w:pPr>
      <w:spacing w:before="20"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LightList-Accent11">
    <w:name w:val="Light List - Accent 11"/>
    <w:basedOn w:val="TableNormal"/>
    <w:uiPriority w:val="61"/>
    <w:rsid w:val="00A76E9D"/>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1">
    <w:name w:val="Light List1"/>
    <w:basedOn w:val="TableNormal"/>
    <w:uiPriority w:val="61"/>
    <w:rsid w:val="00A76E9D"/>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val="0"/>
        <w:bCs/>
        <w:color w:val="FFFFFF" w:themeColor="background1"/>
      </w:rPr>
      <w:tblPr/>
      <w:tcPr>
        <w:shd w:val="clear" w:color="auto" w:fill="D5DCE4" w:themeFill="text2" w:themeFillTint="33"/>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val="0"/>
        <w:bCs/>
        <w:i w:val="0"/>
      </w:rPr>
    </w:tblStylePr>
    <w:tblStylePr w:type="lastCol">
      <w:rPr>
        <w:b w:val="0"/>
        <w:bCs/>
        <w:i w:val="0"/>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color w:val="000000" w:themeColor="text1"/>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color w:val="000000" w:themeColor="text1"/>
      </w:rPr>
    </w:tblStylePr>
  </w:style>
  <w:style w:type="table" w:customStyle="1" w:styleId="LightShading1">
    <w:name w:val="Light Shading1"/>
    <w:basedOn w:val="TableNormal"/>
    <w:uiPriority w:val="60"/>
    <w:rsid w:val="00A76E9D"/>
    <w:pPr>
      <w:spacing w:before="20" w:after="0" w:line="240" w:lineRule="auto"/>
    </w:pPr>
    <w:rPr>
      <w:rFonts w:ascii="Times New Roman" w:eastAsia="Times New Roman" w:hAnsi="Times New Roman" w:cs="Times New Roman"/>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uiPriority w:val="60"/>
    <w:rsid w:val="00A76E9D"/>
    <w:pPr>
      <w:spacing w:before="20" w:after="0" w:line="240" w:lineRule="auto"/>
    </w:pPr>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A76E9D"/>
    <w:pPr>
      <w:spacing w:before="20" w:after="0" w:line="240" w:lineRule="auto"/>
    </w:pPr>
    <w:rPr>
      <w:rFonts w:ascii="Times New Roman" w:eastAsia="Times New Roman" w:hAnsi="Times New Roman" w:cs="Times New Roman"/>
      <w:color w:val="C45911" w:themeColor="accent2" w:themeShade="BF"/>
      <w:sz w:val="20"/>
      <w:szCs w:val="20"/>
      <w:lang w:eastAsia="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A76E9D"/>
    <w:pPr>
      <w:spacing w:before="20" w:after="0" w:line="240" w:lineRule="auto"/>
    </w:pPr>
    <w:rPr>
      <w:rFonts w:ascii="Times New Roman" w:eastAsia="Times New Roman" w:hAnsi="Times New Roman" w:cs="Times New Roman"/>
      <w:color w:val="7B7B7B" w:themeColor="accent3" w:themeShade="BF"/>
      <w:sz w:val="20"/>
      <w:szCs w:val="20"/>
      <w:lang w:eastAsia="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List-Accent2">
    <w:name w:val="Light List Accent 2"/>
    <w:basedOn w:val="TableNormal"/>
    <w:uiPriority w:val="61"/>
    <w:rsid w:val="00A76E9D"/>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A76E9D"/>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1-Accent11">
    <w:name w:val="Medium Shading 1 - Accent 11"/>
    <w:basedOn w:val="TableNormal"/>
    <w:uiPriority w:val="63"/>
    <w:rsid w:val="00A76E9D"/>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White">
    <w:name w:val="White"/>
    <w:basedOn w:val="BodyText"/>
    <w:next w:val="BodyTextGrey"/>
    <w:uiPriority w:val="2"/>
    <w:qFormat/>
    <w:rsid w:val="00A76E9D"/>
    <w:pPr>
      <w:spacing w:before="20" w:after="200" w:line="280" w:lineRule="atLeast"/>
    </w:pPr>
    <w:rPr>
      <w:rFonts w:ascii="Arial" w:hAnsi="Arial" w:cs="Arial"/>
      <w:iCs/>
      <w:color w:val="FFFFFF" w:themeColor="background1"/>
      <w:sz w:val="20"/>
    </w:rPr>
  </w:style>
  <w:style w:type="paragraph" w:customStyle="1" w:styleId="Orange">
    <w:name w:val="Orange"/>
    <w:basedOn w:val="Normal"/>
    <w:next w:val="BodyTextGrey"/>
    <w:uiPriority w:val="2"/>
    <w:qFormat/>
    <w:rsid w:val="00A76E9D"/>
    <w:pPr>
      <w:spacing w:before="20" w:after="200" w:line="280" w:lineRule="atLeast"/>
    </w:pPr>
    <w:rPr>
      <w:rFonts w:ascii="Arial" w:hAnsi="Arial" w:cs="Arial"/>
      <w:iCs/>
      <w:color w:val="4472C4" w:themeColor="accent1"/>
      <w:sz w:val="20"/>
      <w:szCs w:val="20"/>
      <w:lang w:eastAsia="en-US"/>
    </w:rPr>
  </w:style>
  <w:style w:type="paragraph" w:customStyle="1" w:styleId="Blue">
    <w:name w:val="Blue"/>
    <w:basedOn w:val="BodyText"/>
    <w:next w:val="BodyTextGrey"/>
    <w:uiPriority w:val="2"/>
    <w:qFormat/>
    <w:rsid w:val="00A76E9D"/>
    <w:pPr>
      <w:spacing w:before="20" w:after="200" w:line="280" w:lineRule="atLeast"/>
    </w:pPr>
    <w:rPr>
      <w:rFonts w:ascii="Arial" w:hAnsi="Arial" w:cs="Arial"/>
      <w:iCs/>
      <w:color w:val="000000" w:themeColor="text1"/>
      <w:sz w:val="20"/>
    </w:rPr>
  </w:style>
  <w:style w:type="paragraph" w:customStyle="1" w:styleId="HRTest18">
    <w:name w:val="HRTest18"/>
    <w:basedOn w:val="Normal"/>
    <w:uiPriority w:val="3"/>
    <w:rsid w:val="00A76E9D"/>
    <w:pPr>
      <w:spacing w:before="20" w:after="20" w:line="280" w:lineRule="atLeast"/>
      <w:ind w:left="200"/>
      <w:jc w:val="both"/>
    </w:pPr>
    <w:rPr>
      <w:rFonts w:ascii="Arial" w:hAnsi="Arial" w:cs="Arial"/>
      <w:iCs/>
      <w:caps/>
      <w:color w:val="FF9900"/>
      <w:sz w:val="20"/>
      <w:szCs w:val="20"/>
    </w:rPr>
  </w:style>
  <w:style w:type="table" w:styleId="LightList-Accent4">
    <w:name w:val="Light List Accent 4"/>
    <w:basedOn w:val="TableNormal"/>
    <w:uiPriority w:val="61"/>
    <w:rsid w:val="00A76E9D"/>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customStyle="1" w:styleId="MeetingHeader">
    <w:name w:val="MeetingHeader"/>
    <w:basedOn w:val="Normal"/>
    <w:uiPriority w:val="3"/>
    <w:rsid w:val="00A76E9D"/>
    <w:pPr>
      <w:spacing w:before="20" w:after="20" w:line="280" w:lineRule="atLeast"/>
      <w:jc w:val="both"/>
    </w:pPr>
    <w:rPr>
      <w:rFonts w:ascii="Arial" w:hAnsi="Arial" w:cs="Arial"/>
      <w:color w:val="4B4B4B"/>
      <w:sz w:val="20"/>
      <w:szCs w:val="20"/>
    </w:rPr>
  </w:style>
  <w:style w:type="paragraph" w:customStyle="1" w:styleId="MeetingHeaderCaps">
    <w:name w:val="MeetingHeaderCaps"/>
    <w:basedOn w:val="Normal"/>
    <w:uiPriority w:val="3"/>
    <w:rsid w:val="00A76E9D"/>
    <w:pPr>
      <w:spacing w:before="20" w:after="20" w:line="280" w:lineRule="atLeast"/>
      <w:jc w:val="both"/>
    </w:pPr>
    <w:rPr>
      <w:rFonts w:ascii="Arial" w:hAnsi="Arial" w:cs="Arial"/>
      <w:caps/>
      <w:color w:val="4B4B4B"/>
      <w:sz w:val="20"/>
      <w:szCs w:val="20"/>
    </w:rPr>
  </w:style>
  <w:style w:type="paragraph" w:customStyle="1" w:styleId="MeetingTitle">
    <w:name w:val="MeetingTitle"/>
    <w:basedOn w:val="MeetingHeaderCaps"/>
    <w:next w:val="MeetingHeaderCaps"/>
    <w:uiPriority w:val="3"/>
    <w:rsid w:val="00A76E9D"/>
  </w:style>
  <w:style w:type="character" w:customStyle="1" w:styleId="Style1">
    <w:name w:val="Style1"/>
    <w:uiPriority w:val="1"/>
    <w:rsid w:val="00A76E9D"/>
  </w:style>
  <w:style w:type="character" w:styleId="SubtleEmphasis">
    <w:name w:val="Subtle Emphasis"/>
    <w:basedOn w:val="DefaultParagraphFont"/>
    <w:uiPriority w:val="19"/>
    <w:rsid w:val="00A76E9D"/>
    <w:rPr>
      <w:i/>
      <w:iCs/>
      <w:color w:val="808080" w:themeColor="text1" w:themeTint="7F"/>
    </w:rPr>
  </w:style>
  <w:style w:type="paragraph" w:styleId="Title">
    <w:name w:val="Title"/>
    <w:basedOn w:val="Normal"/>
    <w:link w:val="TitleChar"/>
    <w:uiPriority w:val="3"/>
    <w:rsid w:val="00A76E9D"/>
    <w:pPr>
      <w:spacing w:before="240" w:after="60" w:line="280" w:lineRule="exact"/>
      <w:outlineLvl w:val="0"/>
    </w:pPr>
    <w:rPr>
      <w:rFonts w:ascii="Arial" w:hAnsi="Arial" w:cs="Arial"/>
      <w:bCs/>
      <w:iCs/>
      <w:caps/>
      <w:color w:val="3FA6CC"/>
      <w:kern w:val="28"/>
      <w:sz w:val="36"/>
      <w:szCs w:val="36"/>
    </w:rPr>
  </w:style>
  <w:style w:type="character" w:customStyle="1" w:styleId="TitleChar">
    <w:name w:val="Title Char"/>
    <w:basedOn w:val="DefaultParagraphFont"/>
    <w:link w:val="Title"/>
    <w:uiPriority w:val="3"/>
    <w:rsid w:val="00A76E9D"/>
    <w:rPr>
      <w:rFonts w:ascii="Arial" w:eastAsia="Times New Roman" w:hAnsi="Arial" w:cs="Arial"/>
      <w:bCs/>
      <w:iCs/>
      <w:caps/>
      <w:color w:val="3FA6CC"/>
      <w:kern w:val="28"/>
      <w:sz w:val="36"/>
      <w:szCs w:val="36"/>
      <w:lang w:eastAsia="en-GB"/>
    </w:rPr>
  </w:style>
  <w:style w:type="paragraph" w:customStyle="1" w:styleId="StyleTenderVerticalBigBlue48ptLeft02cmRight02">
    <w:name w:val="Style Tender Vertical Big Blue + 48 pt Left:  0.2 cm Right:  0.2 ..."/>
    <w:basedOn w:val="TenderVerticalBigBlue"/>
    <w:rsid w:val="00A76E9D"/>
    <w:pPr>
      <w:spacing w:after="20"/>
      <w:ind w:left="113" w:right="113"/>
    </w:pPr>
    <w:rPr>
      <w:rFonts w:cs="Times New Roman"/>
      <w:iCs w:val="0"/>
      <w:caps w:val="0"/>
    </w:rPr>
  </w:style>
  <w:style w:type="paragraph" w:customStyle="1" w:styleId="StyleTenderBluetextBefore1pt">
    <w:name w:val="Style Tender Blue text + Before:  1 pt"/>
    <w:basedOn w:val="TenderBluetext"/>
    <w:rsid w:val="00A76E9D"/>
    <w:pPr>
      <w:spacing w:before="20"/>
    </w:pPr>
    <w:rPr>
      <w:caps/>
    </w:rPr>
  </w:style>
  <w:style w:type="paragraph" w:customStyle="1" w:styleId="Filepath">
    <w:name w:val="Filepath"/>
    <w:uiPriority w:val="3"/>
    <w:rsid w:val="00A76E9D"/>
    <w:pPr>
      <w:spacing w:before="20" w:after="20" w:line="280" w:lineRule="atLeast"/>
      <w:ind w:left="-425"/>
    </w:pPr>
    <w:rPr>
      <w:rFonts w:ascii="Arial" w:eastAsia="Times New Roman" w:hAnsi="Arial" w:cs="Arial"/>
      <w:color w:val="4B4B4B"/>
      <w:sz w:val="1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imgres?imgurl=https://www.lbbd.gov.uk/wp-content/uploads/2014/11/coat-of-arms.jpg&amp;imgrefurl=https://www.lbbd.gov.uk/council/councillors-and-committees/mayor/the-boroughs-coat-of-arms/&amp;docid=Ks12fHAcyJTlOM&amp;tbnid=bslI9ftzZeq5pM:&amp;vet=1&amp;w=600&amp;h=539&amp;bih=934&amp;biw=1920&amp;ved=0ahUKEwjMorPsgLLQAhXBCcAKHTBLBzUQMwhVKC0wLQ&amp;iact=mrc&amp;uact=8" TargetMode="External"/><Relationship Id="rId13" Type="http://schemas.openxmlformats.org/officeDocument/2006/relationships/hyperlink" Target="http://www.lbbdpensionfund.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bbd.gov.uk/CouncilandDemocracy/Documents/Constitution/const-c-section-m.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bs.com/global/en/about_ubs/corporate_covernanc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id.dickinson@lbbd.gov.uk" TargetMode="External"/><Relationship Id="rId5" Type="http://schemas.openxmlformats.org/officeDocument/2006/relationships/footnotes" Target="footnotes.xml"/><Relationship Id="rId15" Type="http://schemas.openxmlformats.org/officeDocument/2006/relationships/hyperlink" Target="http://www.bailliegifford.com/pages/UKInstitutional/CorporateGovernance/CorporateGovernaceSRI.aspx" TargetMode="External"/><Relationship Id="rId10" Type="http://schemas.openxmlformats.org/officeDocument/2006/relationships/hyperlink" Target="http://www.lbbdpensionfund.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5952</Words>
  <Characters>33931</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Dickinson David</dc:creator>
  <cp:keywords/>
  <dc:description/>
  <cp:lastModifiedBy>Dickinson David</cp:lastModifiedBy>
  <cp:revision>2</cp:revision>
  <dcterms:created xsi:type="dcterms:W3CDTF">2017-09-08T11:15:00Z</dcterms:created>
  <dcterms:modified xsi:type="dcterms:W3CDTF">2017-09-08T11:15:00Z</dcterms:modified>
</cp:coreProperties>
</file>